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E" w:rsidRPr="000E365B" w:rsidRDefault="00B35F1E" w:rsidP="00B35F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</w:t>
      </w:r>
      <w:r w:rsidR="002E7A65"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B35F1E" w:rsidRPr="00C74128" w:rsidRDefault="00B35F1E" w:rsidP="00B35F1E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35F1E" w:rsidRPr="00C74128" w:rsidRDefault="00B35F1E" w:rsidP="00B35F1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128">
        <w:rPr>
          <w:rFonts w:ascii="Times New Roman" w:hAnsi="Times New Roman" w:cs="Times New Roman"/>
          <w:b/>
          <w:i/>
          <w:sz w:val="24"/>
          <w:szCs w:val="24"/>
        </w:rPr>
        <w:t xml:space="preserve">13.02.11 </w:t>
      </w:r>
      <w:r w:rsidRPr="00C74128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0E0C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35F1E" w:rsidRPr="000E365B" w:rsidRDefault="00B35F1E" w:rsidP="000E0C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3F34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31.08.2021г.</w:t>
            </w:r>
          </w:p>
        </w:tc>
      </w:tr>
    </w:tbl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B35F1E" w:rsidRPr="00C74128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ОП.06 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ПРАВОВЫЕ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5F1E" w:rsidRPr="000E365B" w:rsidRDefault="00B35F1E" w:rsidP="00B35F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0E365B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3F73" w:rsidRPr="000E365B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673F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C74128" w:rsidRDefault="00B35F1E" w:rsidP="001E3AC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B35F1E" w:rsidRPr="000E365B" w:rsidTr="000E0C13">
        <w:tc>
          <w:tcPr>
            <w:tcW w:w="3395" w:type="dxa"/>
          </w:tcPr>
          <w:p w:rsidR="00B35F1E" w:rsidRPr="000E365B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9889"/>
      </w:tblGrid>
      <w:tr w:rsidR="00B35F1E" w:rsidRPr="00C74128" w:rsidTr="000E0C13">
        <w:trPr>
          <w:jc w:val="right"/>
        </w:trPr>
        <w:tc>
          <w:tcPr>
            <w:tcW w:w="9889" w:type="dxa"/>
            <w:shd w:val="clear" w:color="auto" w:fill="auto"/>
          </w:tcPr>
          <w:p w:rsidR="00B35F1E" w:rsidRPr="00C74128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B35F1E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ПЦК Электротехнических дисциплин </w:t>
            </w:r>
          </w:p>
          <w:p w:rsidR="00B35F1E" w:rsidRPr="00C74128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автоматизации</w:t>
            </w:r>
          </w:p>
        </w:tc>
      </w:tr>
      <w:tr w:rsidR="00B35F1E" w:rsidRPr="00C74128" w:rsidTr="000E0C13">
        <w:trPr>
          <w:trHeight w:val="847"/>
          <w:jc w:val="right"/>
        </w:trPr>
        <w:tc>
          <w:tcPr>
            <w:tcW w:w="9889" w:type="dxa"/>
            <w:shd w:val="clear" w:color="auto" w:fill="auto"/>
          </w:tcPr>
          <w:p w:rsidR="00B35F1E" w:rsidRPr="00C74128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№_1__</w:t>
            </w:r>
          </w:p>
          <w:p w:rsidR="00B35F1E" w:rsidRPr="00C74128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2E7A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___» ___</w:t>
            </w:r>
            <w:r w:rsidRPr="002E7A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 2021 г.</w:t>
            </w:r>
          </w:p>
          <w:p w:rsidR="00B35F1E" w:rsidRPr="00C74128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/_</w:t>
            </w:r>
            <w:r w:rsidRPr="002E7A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Комарова Т.Н.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:rsidR="00B35F1E" w:rsidRPr="000E365B" w:rsidRDefault="00B35F1E" w:rsidP="00B35F1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315DA6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1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ОП.06 П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</w:t>
      </w:r>
      <w:proofErr w:type="gramStart"/>
      <w:r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36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</w:t>
      </w:r>
      <w:proofErr w:type="gramEnd"/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 науки Российской </w:t>
      </w:r>
      <w:r w:rsidRPr="00904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Федерации от 07.12. 2017  года № 1196.</w:t>
      </w:r>
    </w:p>
    <w:p w:rsidR="00B35F1E" w:rsidRPr="000E365B" w:rsidRDefault="00B35F1E" w:rsidP="00B35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8"/>
        </w:rPr>
        <w:t>преподаватель  ГБПОУ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8"/>
        </w:rPr>
        <w:t xml:space="preserve"> МО «Воскресенский колледж» Куприна Н.Л.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5F1E" w:rsidRPr="00904577" w:rsidRDefault="00B35F1E" w:rsidP="00B35F1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</w:t>
      </w:r>
      <w:r w:rsidRPr="00904577">
        <w:rPr>
          <w:rFonts w:ascii="Times New Roman" w:eastAsia="Times New Roman" w:hAnsi="Times New Roman" w:cs="Times New Roman"/>
          <w:b/>
          <w:lang w:eastAsia="ru-RU"/>
        </w:rPr>
        <w:t>ДИСЦИПЛИНЫ «УГОЛОВНОЕ ПРАВО»</w:t>
      </w: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B35F1E" w:rsidRPr="00904577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904577">
        <w:rPr>
          <w:rFonts w:ascii="Times New Roman" w:eastAsia="Times New Roman" w:hAnsi="Times New Roman" w:cs="Times New Roman"/>
          <w:lang w:eastAsia="ru-RU"/>
        </w:rPr>
        <w:tab/>
      </w:r>
    </w:p>
    <w:p w:rsidR="00904577" w:rsidRDefault="00B35F1E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Учебная дисциплина </w:t>
      </w:r>
      <w:r w:rsidR="00904577" w:rsidRPr="002837CB">
        <w:rPr>
          <w:rFonts w:ascii="Times New Roman" w:hAnsi="Times New Roman"/>
          <w:sz w:val="24"/>
          <w:szCs w:val="24"/>
        </w:rPr>
        <w:t>ОП.0</w:t>
      </w:r>
      <w:r w:rsidR="00904577">
        <w:rPr>
          <w:rFonts w:ascii="Times New Roman" w:hAnsi="Times New Roman"/>
          <w:sz w:val="24"/>
          <w:szCs w:val="24"/>
        </w:rPr>
        <w:t>6</w:t>
      </w:r>
      <w:r w:rsidR="00904577" w:rsidRPr="002837CB">
        <w:rPr>
          <w:rFonts w:ascii="Times New Roman" w:hAnsi="Times New Roman"/>
          <w:sz w:val="24"/>
          <w:szCs w:val="24"/>
        </w:rPr>
        <w:t xml:space="preserve"> Правовые основы профессиональной деятельности</w:t>
      </w:r>
      <w:r w:rsidRPr="00904577">
        <w:rPr>
          <w:rFonts w:ascii="Times New Roman" w:eastAsia="Times New Roman" w:hAnsi="Times New Roman" w:cs="Times New Roman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904577"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="00904577"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  <w:r w:rsidR="0090457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904577" w:rsidRDefault="00904577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B35F1E" w:rsidRPr="00904577" w:rsidRDefault="00B35F1E" w:rsidP="009045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35F1E" w:rsidRDefault="00B35F1E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p w:rsidR="00904577" w:rsidRPr="00904577" w:rsidRDefault="00904577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764"/>
        <w:gridCol w:w="4111"/>
      </w:tblGrid>
      <w:tr w:rsidR="00B35F1E" w:rsidRPr="00904577" w:rsidTr="00904577">
        <w:trPr>
          <w:trHeight w:val="649"/>
        </w:trPr>
        <w:tc>
          <w:tcPr>
            <w:tcW w:w="1765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F1E" w:rsidRPr="00904577" w:rsidTr="00904577">
        <w:trPr>
          <w:trHeight w:val="212"/>
        </w:trPr>
        <w:tc>
          <w:tcPr>
            <w:tcW w:w="1765" w:type="dxa"/>
          </w:tcPr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904577" w:rsidRPr="00904577" w:rsidRDefault="00904577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ОК9, ОК10,</w:t>
            </w:r>
            <w:r w:rsidR="00D70F24"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D70F24"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="00D70F24"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904577" w:rsidRPr="00904577" w:rsidRDefault="00904577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 w:rsidR="00D70F24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 w:rsidR="00D70F2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 w:rsidR="00D70F24"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B35F1E" w:rsidRPr="00904577" w:rsidRDefault="00673F73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 w:rsidR="00904577"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 w:rsidR="00904577"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4111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виды административных правонарушений и административной ответственности;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классификацию, 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защиты 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свободы человека и гражданина,</w:t>
            </w:r>
          </w:p>
          <w:p w:rsidR="00904577" w:rsidRPr="00904577" w:rsidRDefault="00904577" w:rsidP="00904577">
            <w:p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механизмы их реализации;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правовое положение субъектов предпринимательской деятельности;</w:t>
            </w: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роль государственного регулирования в обеспечении занятости населения.</w:t>
            </w:r>
          </w:p>
        </w:tc>
      </w:tr>
    </w:tbl>
    <w:p w:rsidR="00B35F1E" w:rsidRPr="000E365B" w:rsidRDefault="00B35F1E" w:rsidP="00B35F1E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24" w:rsidRDefault="00D70F24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B35F1E" w:rsidRPr="000E365B" w:rsidRDefault="00B35F1E" w:rsidP="00B35F1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B35F1E" w:rsidRPr="000E365B" w:rsidTr="000E0C13">
        <w:trPr>
          <w:trHeight w:val="336"/>
        </w:trPr>
        <w:tc>
          <w:tcPr>
            <w:tcW w:w="5000" w:type="pct"/>
            <w:gridSpan w:val="2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B35F1E" w:rsidRPr="000E365B" w:rsidTr="000E0C13">
        <w:trPr>
          <w:trHeight w:val="267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B35F1E" w:rsidRPr="000E365B" w:rsidTr="000E0C13">
        <w:trPr>
          <w:trHeight w:val="331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дифференцированный </w:t>
            </w:r>
          </w:p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Pr="008A31BF" w:rsidRDefault="00B35F1E" w:rsidP="00B35F1E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B35F1E" w:rsidRPr="008A31BF" w:rsidSect="00292100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904577" w:rsidRPr="00904577" w:rsidRDefault="00904577" w:rsidP="00904577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9730"/>
        <w:gridCol w:w="1072"/>
        <w:gridCol w:w="1775"/>
      </w:tblGrid>
      <w:tr w:rsidR="00904577" w:rsidRPr="00904577" w:rsidTr="00904577">
        <w:trPr>
          <w:trHeight w:val="1913"/>
        </w:trPr>
        <w:tc>
          <w:tcPr>
            <w:tcW w:w="816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Объем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 часах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577" w:rsidRPr="00904577" w:rsidTr="00904577">
        <w:trPr>
          <w:trHeight w:val="259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ОСНОВЫ ПРАВА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Тема 1.1 Нормы права. </w:t>
            </w:r>
          </w:p>
          <w:p w:rsidR="00904577" w:rsidRPr="00926E2E" w:rsidRDefault="00904577" w:rsidP="00904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 xml:space="preserve">Правовое регулирование 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редпринимательской деятельности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D70F24" w:rsidRPr="00904577" w:rsidRDefault="00D70F24" w:rsidP="00D70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Start"/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признаки нормы права. Функции норм права. Структура правовой нормы: гипотеза, диспозиция, санкция. Нормативное и ненормативное регулирование профессиональной деятельности. Общая характеристика структуры и содержания Конституции РФ. Понятие и принципы правового государства. Правовое государство и конституционный статус личности в РФ.</w:t>
            </w:r>
            <w:r w:rsidRPr="00904577">
              <w:rPr>
                <w:rFonts w:ascii="Times New Roman" w:hAnsi="Times New Roman"/>
              </w:rPr>
              <w:t xml:space="preserve">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hAnsi="Times New Roman"/>
              </w:rPr>
              <w:t xml:space="preserve">Понятие предпринимательской деятельности, ее признаки. Субъекты предпринимательской деятельности. </w:t>
            </w:r>
            <w:r>
              <w:rPr>
                <w:rFonts w:ascii="Times New Roman" w:hAnsi="Times New Roman"/>
              </w:rPr>
              <w:t>Создание субъектов предпринимательской деятельности. Порядок государственной регистрации субъектов предпринимательской деятельности. Лицензирование предпринимательской деятельности. Прекращение деятельности субъектов предпринимательской деятельности посредством реорганизации, ликвидации. Банкротство. Судебные и внесудебные процедуры. Особенности банкротства физических лиц.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 №1</w:t>
            </w:r>
            <w:r w:rsidRPr="00926E2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E2E">
              <w:rPr>
                <w:rFonts w:ascii="Times New Roman" w:hAnsi="Times New Roman"/>
              </w:rPr>
              <w:t xml:space="preserve">Определение норм Гражданского </w:t>
            </w:r>
            <w:proofErr w:type="gramStart"/>
            <w:r w:rsidRPr="00926E2E">
              <w:rPr>
                <w:rFonts w:ascii="Times New Roman" w:hAnsi="Times New Roman"/>
              </w:rPr>
              <w:t>Кодекса  РФ</w:t>
            </w:r>
            <w:proofErr w:type="gramEnd"/>
            <w:r w:rsidRPr="00926E2E">
              <w:rPr>
                <w:rFonts w:ascii="Times New Roman" w:hAnsi="Times New Roman"/>
              </w:rPr>
              <w:t xml:space="preserve"> ч.1, регулирующих предпринимательскую деятельность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26E2E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26E2E">
              <w:rPr>
                <w:rFonts w:ascii="Times New Roman" w:hAnsi="Times New Roman"/>
              </w:rPr>
              <w:t>Нормативно-</w:t>
            </w:r>
            <w:proofErr w:type="gramStart"/>
            <w:r w:rsidRPr="00926E2E">
              <w:rPr>
                <w:rFonts w:ascii="Times New Roman" w:hAnsi="Times New Roman"/>
              </w:rPr>
              <w:t>правовая  база</w:t>
            </w:r>
            <w:proofErr w:type="gramEnd"/>
            <w:r w:rsidRPr="00926E2E">
              <w:rPr>
                <w:rFonts w:ascii="Times New Roman" w:hAnsi="Times New Roman"/>
              </w:rPr>
              <w:t xml:space="preserve">  Гражданского Кодекса  РФ ч.1,регулирующей создание и ликвидацию юридических лиц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Pr="00926E2E">
              <w:rPr>
                <w:rFonts w:ascii="Times New Roman" w:hAnsi="Times New Roman"/>
              </w:rPr>
              <w:t>оставление таблицы «Организационно – правовые формы ком</w:t>
            </w:r>
            <w:r>
              <w:rPr>
                <w:rFonts w:ascii="Times New Roman" w:hAnsi="Times New Roman"/>
              </w:rPr>
              <w:t>мерческих юридических лиц».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904577">
        <w:trPr>
          <w:trHeight w:val="347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ТРУДОВОЕ ПРАВО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правоотношения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D70F24" w:rsidRPr="00904577" w:rsidRDefault="00D70F24" w:rsidP="00D70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752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 отрасль права. Трудовые правоотношения.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Законодательство РФ о занятости и трудоустройстве. Понятие и формы занятости. Социальные гарантии при потере работы.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83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818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№2</w:t>
            </w: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Занятость и трудоустройство»</w:t>
            </w: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b/>
              </w:rPr>
              <w:t>овой договор и дисциплина труда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1" w:type="pct"/>
            <w:vMerge w:val="restart"/>
            <w:vAlign w:val="center"/>
          </w:tcPr>
          <w:p w:rsidR="00D70F24" w:rsidRPr="00904577" w:rsidRDefault="00D70F24" w:rsidP="00D70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Трудовой договор: понятие и содержание. Виды трудового договора. Порядок заключения и изменения трудового договора. Основания прекращения трудового договора. Дисциплина труда и методы ее обеспечения. Дисциплинарная ответственность. Виды материальной ответственности.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454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702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№3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договор – основа трудовых правоотношений»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</w:rPr>
              <w:t>№4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ситуационных задач по теме «Расторжение трудового договора»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.3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Правовое регулирование рабочего времени и времени отдыха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1" w:type="pct"/>
            <w:vMerge w:val="restart"/>
            <w:vAlign w:val="center"/>
          </w:tcPr>
          <w:p w:rsidR="00D70F24" w:rsidRPr="00904577" w:rsidRDefault="00D70F24" w:rsidP="00D70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Pr="00904577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виды рабочего времени. Особенности режима работы и отдыха, нормы рабочего времени. Гарантийные и компенсационные выплаты за работу в особых условиях. Понятие и виды времени отдыха. Ежегодные отпуска.</w:t>
            </w:r>
            <w:r>
              <w:rPr>
                <w:rFonts w:ascii="Times New Roman" w:eastAsia="Times New Roman" w:hAnsi="Times New Roman" w:cs="Times New Roman"/>
              </w:rPr>
              <w:t xml:space="preserve"> Порядок предоставления отпусков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№5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«Рабочее время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– основа продуктивной деятельности предприятия»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№6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Время отдыха»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.4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споры</w:t>
            </w: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D70F24" w:rsidRPr="00904577" w:rsidRDefault="00D70F24" w:rsidP="00D70F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70F24" w:rsidRPr="00904577" w:rsidRDefault="00D70F24" w:rsidP="00D70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Законодательство о трудовых спорах. Понятие и виды трудовых споров. Порядок разрешения индивидуальных трудовых споров. Коллективные трудовые споры и порядок их рассмотрения. Подведомственность трудовых споров суду. Сроки обращения за разрешением трудовых споров. Возложение ответственности на должностное лицо, виновное в увольнении работника.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№7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спор как побуждающий фактор улучшения условий труда»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A">
              <w:rPr>
                <w:rFonts w:ascii="Times New Roman" w:hAnsi="Times New Roman"/>
              </w:rPr>
              <w:t xml:space="preserve">1. </w:t>
            </w:r>
            <w:r w:rsidRPr="00926E2E">
              <w:rPr>
                <w:rFonts w:ascii="Times New Roman" w:hAnsi="Times New Roman"/>
                <w:bCs/>
              </w:rPr>
              <w:t xml:space="preserve">Составление алгоритма процедуры </w:t>
            </w:r>
            <w:r>
              <w:rPr>
                <w:rFonts w:ascii="Times New Roman" w:hAnsi="Times New Roman"/>
                <w:bCs/>
              </w:rPr>
              <w:t>разрешения трудового спора</w:t>
            </w:r>
            <w:r w:rsidRPr="00926E2E">
              <w:rPr>
                <w:rFonts w:ascii="Times New Roman" w:hAnsi="Times New Roman"/>
                <w:bCs/>
              </w:rPr>
              <w:t xml:space="preserve"> в соответствии </w:t>
            </w:r>
            <w:r>
              <w:rPr>
                <w:rFonts w:ascii="Times New Roman" w:hAnsi="Times New Roman"/>
                <w:bCs/>
              </w:rPr>
              <w:t>с нормами Трудового кодекса РФ.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458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АДМИНИСТРАТИВНОЕ ПРАВО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Общая характеристика административного права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1E3AC7" w:rsidRPr="00904577" w:rsidRDefault="001E3AC7" w:rsidP="001E3A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1E3AC7" w:rsidRPr="00904577" w:rsidRDefault="001E3AC7" w:rsidP="001E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1E3AC7" w:rsidRPr="00904577" w:rsidRDefault="001E3AC7" w:rsidP="001E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Виды административных наказаний и порядок их наложения.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57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683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№8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 ситуационных задач по теме: «Административное право».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373"/>
        </w:trPr>
        <w:tc>
          <w:tcPr>
            <w:tcW w:w="4051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507"/>
        </w:trPr>
        <w:tc>
          <w:tcPr>
            <w:tcW w:w="4051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F1E" w:rsidRPr="008A31BF" w:rsidRDefault="00B35F1E" w:rsidP="00B35F1E">
      <w:pPr>
        <w:rPr>
          <w:rFonts w:ascii="Times New Roman" w:eastAsia="Times New Roman" w:hAnsi="Times New Roman" w:cs="Times New Roman"/>
          <w:i/>
          <w:lang w:eastAsia="ru-RU"/>
        </w:rPr>
        <w:sectPr w:rsidR="00B35F1E" w:rsidRPr="008A31BF" w:rsidSect="00904577">
          <w:pgSz w:w="16840" w:h="11907" w:orient="landscape"/>
          <w:pgMar w:top="851" w:right="1134" w:bottom="851" w:left="851" w:header="709" w:footer="709" w:gutter="0"/>
          <w:cols w:space="720"/>
        </w:sectPr>
      </w:pPr>
    </w:p>
    <w:p w:rsidR="00B35F1E" w:rsidRPr="008A31BF" w:rsidRDefault="00B35F1E" w:rsidP="00B35F1E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35F1E" w:rsidRPr="000E365B" w:rsidRDefault="00B35F1E" w:rsidP="00B35F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227BBA"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Pr="008B1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8B18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5BEF">
        <w:rPr>
          <w:rFonts w:ascii="Times New Roman" w:eastAsia="Times New Roman" w:hAnsi="Times New Roman" w:cs="Times New Roman"/>
          <w:spacing w:val="-1"/>
        </w:rPr>
        <w:t>- комплект учебно-наглядных пособий</w:t>
      </w:r>
      <w:r>
        <w:rPr>
          <w:rFonts w:ascii="Times New Roman" w:eastAsia="Times New Roman" w:hAnsi="Times New Roman" w:cs="Times New Roman"/>
          <w:spacing w:val="-1"/>
        </w:rPr>
        <w:t xml:space="preserve"> по уголовному праву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35F1E" w:rsidRPr="00227BBA" w:rsidRDefault="00B35F1E" w:rsidP="00B35F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B35F1E" w:rsidRPr="00227BBA" w:rsidRDefault="00B35F1E" w:rsidP="00B35F1E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proofErr w:type="gramStart"/>
      <w:r>
        <w:rPr>
          <w:rFonts w:ascii="Times New Roman" w:hAnsi="Times New Roman"/>
          <w:sz w:val="24"/>
          <w:szCs w:val="24"/>
        </w:rPr>
        <w:t>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</w:t>
      </w:r>
      <w:proofErr w:type="gramEnd"/>
      <w:r w:rsidRPr="00227BBA">
        <w:rPr>
          <w:rFonts w:ascii="Times New Roman" w:hAnsi="Times New Roman"/>
          <w:sz w:val="24"/>
          <w:szCs w:val="24"/>
        </w:rPr>
        <w:t xml:space="preserve"> и электронные образовательные и информационные ресурсы, рекомендуемые для использования в образовательном процессе.</w:t>
      </w:r>
    </w:p>
    <w:p w:rsidR="00B35F1E" w:rsidRPr="00C066BA" w:rsidRDefault="00B35F1E" w:rsidP="00B35F1E">
      <w:pPr>
        <w:spacing w:after="0" w:line="240" w:lineRule="auto"/>
        <w:ind w:left="720"/>
        <w:rPr>
          <w:rFonts w:ascii="Times New Roman" w:hAnsi="Times New Roman"/>
        </w:rPr>
      </w:pPr>
    </w:p>
    <w:p w:rsidR="00B35F1E" w:rsidRPr="00D36726" w:rsidRDefault="00B35F1E" w:rsidP="00B35F1E">
      <w:pPr>
        <w:pStyle w:val="a6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D36726">
        <w:rPr>
          <w:rFonts w:ascii="Times New Roman" w:hAnsi="Times New Roman"/>
          <w:b/>
        </w:rPr>
        <w:t>Основные печатные издания</w:t>
      </w:r>
    </w:p>
    <w:p w:rsidR="00B35F1E" w:rsidRPr="00F13372" w:rsidRDefault="00B35F1E" w:rsidP="00B35F1E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B35F1E" w:rsidRPr="00D36726" w:rsidRDefault="00B35F1E" w:rsidP="00B35F1E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Трудовой кодекс Российской Федерации,  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Гражданско-процессуальный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Капустин А.Я.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 xml:space="preserve">М., Издательство </w:t>
      </w:r>
      <w:proofErr w:type="spellStart"/>
      <w:r w:rsidRPr="00D36726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D36726">
        <w:rPr>
          <w:rFonts w:ascii="Times New Roman" w:hAnsi="Times New Roman"/>
          <w:sz w:val="24"/>
          <w:szCs w:val="24"/>
        </w:rPr>
        <w:t>, 2019.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726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D36726">
        <w:rPr>
          <w:rFonts w:ascii="Times New Roman" w:hAnsi="Times New Roman"/>
          <w:sz w:val="24"/>
          <w:szCs w:val="24"/>
        </w:rPr>
        <w:t xml:space="preserve"> В.В.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>Издательский центр «Академия», 2018.</w:t>
      </w:r>
    </w:p>
    <w:p w:rsidR="00B35F1E" w:rsidRPr="00D36726" w:rsidRDefault="00B35F1E" w:rsidP="00B35F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9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5F1E"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3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4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D36726" w:rsidRDefault="00B35F1E" w:rsidP="00904577">
      <w:pPr>
        <w:spacing w:after="0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35F1E" w:rsidRDefault="00B35F1E" w:rsidP="00B35F1E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Петрова Г.В.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>М.: Издательский центр Академия, 2019.</w:t>
      </w:r>
    </w:p>
    <w:p w:rsidR="00B35F1E" w:rsidRPr="00D36726" w:rsidRDefault="00B35F1E" w:rsidP="00B35F1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B35F1E" w:rsidRPr="0030154A" w:rsidRDefault="00B35F1E" w:rsidP="00B35F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 xml:space="preserve">проведения практических занятий, устного </w:t>
      </w:r>
      <w:proofErr w:type="gramStart"/>
      <w:r w:rsidRPr="0030154A">
        <w:rPr>
          <w:rFonts w:ascii="Times New Roman" w:hAnsi="Times New Roman"/>
        </w:rPr>
        <w:t>опроса  и</w:t>
      </w:r>
      <w:proofErr w:type="gramEnd"/>
      <w:r w:rsidRPr="0030154A">
        <w:rPr>
          <w:rFonts w:ascii="Times New Roman" w:hAnsi="Times New Roman"/>
        </w:rPr>
        <w:t xml:space="preserve">  выполнения обучающимися практических работ.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B35F1E" w:rsidRPr="0030154A" w:rsidRDefault="00B35F1E" w:rsidP="00B35F1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2417"/>
        <w:gridCol w:w="2614"/>
      </w:tblGrid>
      <w:tr w:rsidR="00B35F1E" w:rsidRPr="0030154A" w:rsidTr="000E0C13">
        <w:tc>
          <w:tcPr>
            <w:tcW w:w="242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062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B35F1E" w:rsidRPr="0030154A" w:rsidTr="000E0C13">
        <w:trPr>
          <w:trHeight w:val="2258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виды административных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правонарушений и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административной ответственности;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и способы защиты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положения Конституции РФ,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разрешения трудовых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904577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B35F1E" w:rsidRPr="0030154A" w:rsidRDefault="00904577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="00B35F1E" w:rsidRPr="0030154A">
              <w:rPr>
                <w:rFonts w:ascii="Times New Roman" w:hAnsi="Times New Roman"/>
                <w:b/>
              </w:rPr>
              <w:t xml:space="preserve"> аттестация</w:t>
            </w:r>
            <w:proofErr w:type="gramEnd"/>
            <w:r w:rsidR="00B35F1E" w:rsidRPr="0030154A">
              <w:rPr>
                <w:rFonts w:ascii="Times New Roman" w:hAnsi="Times New Roman"/>
                <w:b/>
              </w:rPr>
              <w:t>:</w:t>
            </w:r>
          </w:p>
          <w:p w:rsidR="00B35F1E" w:rsidRPr="0030154A" w:rsidRDefault="00B35F1E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в форме </w:t>
            </w:r>
            <w:r w:rsidR="00904577">
              <w:rPr>
                <w:rFonts w:ascii="Times New Roman" w:hAnsi="Times New Roman"/>
              </w:rPr>
              <w:t xml:space="preserve">дифференцированного </w:t>
            </w:r>
            <w:r w:rsidRPr="0030154A">
              <w:rPr>
                <w:rFonts w:ascii="Times New Roman" w:hAnsi="Times New Roman"/>
              </w:rPr>
              <w:t>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B35F1E" w:rsidRPr="0030154A" w:rsidTr="000E0C13">
        <w:trPr>
          <w:trHeight w:val="275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lastRenderedPageBreak/>
              <w:t>Перечень умений,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ориентироваться в правовой системе, </w:t>
            </w:r>
            <w:proofErr w:type="gramStart"/>
            <w:r w:rsidRPr="00904577">
              <w:rPr>
                <w:rFonts w:ascii="Times New Roman" w:eastAsia="Times New Roman" w:hAnsi="Times New Roman" w:cs="Times New Roman"/>
              </w:rPr>
              <w:t>регулирующей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04577">
              <w:rPr>
                <w:rFonts w:ascii="Times New Roman" w:eastAsia="Times New Roman" w:hAnsi="Times New Roman" w:cs="Times New Roman"/>
              </w:rPr>
              <w:t>профессиональную</w:t>
            </w:r>
            <w:proofErr w:type="gramEnd"/>
            <w:r w:rsidRPr="00904577">
              <w:rPr>
                <w:rFonts w:ascii="Times New Roman" w:eastAsia="Times New Roman" w:hAnsi="Times New Roman" w:cs="Times New Roman"/>
              </w:rPr>
              <w:t xml:space="preserve"> 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использовать нормативно-правовые документы,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регламентирующие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профессиональную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анализировать оценивать результат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 процессуальным и трудовым законодательством;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оказывать правовую помощь с целью восстановления нарушенных прав; реализовывать соблюдения законов.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P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17"/>
              <w:contextualSpacing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 xml:space="preserve">тестовые задания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фронтальны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2837CB">
              <w:rPr>
                <w:sz w:val="24"/>
                <w:szCs w:val="24"/>
                <w:lang w:val="ru-RU"/>
              </w:rPr>
              <w:t xml:space="preserve"> опрос;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подготовка и защита сообщений, докладов,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защита практических работ;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индивидуальные задания</w:t>
            </w:r>
          </w:p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0154A">
              <w:rPr>
                <w:rFonts w:ascii="Times New Roman" w:hAnsi="Times New Roman"/>
                <w:b/>
              </w:rPr>
              <w:t>Промежуточная  аттестация</w:t>
            </w:r>
            <w:proofErr w:type="gramEnd"/>
            <w:r w:rsidRPr="0030154A">
              <w:rPr>
                <w:rFonts w:ascii="Times New Roman" w:hAnsi="Times New Roman"/>
                <w:b/>
              </w:rPr>
              <w:t>:</w:t>
            </w:r>
          </w:p>
          <w:p w:rsidR="00B35F1E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904577" w:rsidRDefault="00904577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904577" w:rsidRPr="00904577" w:rsidRDefault="00904577" w:rsidP="0090457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904577" w:rsidRPr="0030154A" w:rsidRDefault="00904577" w:rsidP="00904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рефлексивная </w:t>
            </w:r>
            <w:proofErr w:type="spellStart"/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B35F1E" w:rsidRPr="0030154A" w:rsidRDefault="00B35F1E" w:rsidP="00B35F1E">
      <w:pPr>
        <w:spacing w:after="0"/>
        <w:rPr>
          <w:rFonts w:ascii="Times New Roman" w:hAnsi="Times New Roman"/>
          <w:b/>
        </w:rPr>
      </w:pPr>
    </w:p>
    <w:p w:rsidR="00B35F1E" w:rsidRPr="0030154A" w:rsidRDefault="00B35F1E" w:rsidP="00B35F1E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4A" w:rsidRDefault="00440F4A">
      <w:pPr>
        <w:spacing w:after="0" w:line="240" w:lineRule="auto"/>
      </w:pPr>
      <w:r>
        <w:separator/>
      </w:r>
    </w:p>
  </w:endnote>
  <w:endnote w:type="continuationSeparator" w:id="0">
    <w:p w:rsidR="00440F4A" w:rsidRDefault="0044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 w:rsidP="00292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1BF" w:rsidRDefault="00440F4A" w:rsidP="002921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E3AC7">
      <w:rPr>
        <w:noProof/>
      </w:rPr>
      <w:t>4</w:t>
    </w:r>
    <w:r>
      <w:fldChar w:fldCharType="end"/>
    </w:r>
  </w:p>
  <w:p w:rsidR="008A31BF" w:rsidRDefault="00440F4A" w:rsidP="002921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4A" w:rsidRDefault="00440F4A">
      <w:pPr>
        <w:spacing w:after="0" w:line="240" w:lineRule="auto"/>
      </w:pPr>
      <w:r>
        <w:separator/>
      </w:r>
    </w:p>
  </w:footnote>
  <w:footnote w:type="continuationSeparator" w:id="0">
    <w:p w:rsidR="00440F4A" w:rsidRDefault="0044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B"/>
    <w:rsid w:val="001E3AC7"/>
    <w:rsid w:val="002E7A65"/>
    <w:rsid w:val="003F34EB"/>
    <w:rsid w:val="00440F4A"/>
    <w:rsid w:val="005622C6"/>
    <w:rsid w:val="00673F73"/>
    <w:rsid w:val="008714CB"/>
    <w:rsid w:val="00904577"/>
    <w:rsid w:val="00A156A9"/>
    <w:rsid w:val="00B35F1E"/>
    <w:rsid w:val="00D70F24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C566-9860-487E-9744-7C1F7AF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3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5F1E"/>
  </w:style>
  <w:style w:type="character" w:styleId="a5">
    <w:name w:val="page number"/>
    <w:rsid w:val="00B35F1E"/>
    <w:rPr>
      <w:rFonts w:cs="Times New Roman"/>
    </w:rPr>
  </w:style>
  <w:style w:type="paragraph" w:styleId="a6">
    <w:name w:val="List Paragraph"/>
    <w:basedOn w:val="a"/>
    <w:uiPriority w:val="34"/>
    <w:qFormat/>
    <w:rsid w:val="00B35F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4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ode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" TargetMode="External"/><Relationship Id="rId14" Type="http://schemas.openxmlformats.org/officeDocument/2006/relationships/hyperlink" Target="http://www.zakonrf.info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2024-01-18T15:58:00Z</dcterms:created>
  <dcterms:modified xsi:type="dcterms:W3CDTF">2024-01-18T16:27:00Z</dcterms:modified>
</cp:coreProperties>
</file>