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35" w:before="0" w:after="0"/>
        <w:ind w:left="947" w:right="1182" w:hanging="0"/>
        <w:jc w:val="center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1061085</wp:posOffset>
                </wp:positionH>
                <wp:positionV relativeFrom="page">
                  <wp:posOffset>1841500</wp:posOffset>
                </wp:positionV>
                <wp:extent cx="5982335" cy="206375"/>
                <wp:effectExtent l="0" t="0" r="0" b="0"/>
                <wp:wrapNone/>
                <wp:docPr id="1" name="drawingObjec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480" cy="206280"/>
                        </a:xfrm>
                        <a:custGeom>
                          <a:avLst/>
                          <a:gdLst>
                            <a:gd name="textAreaLeft" fmla="*/ 0 w 3391560"/>
                            <a:gd name="textAreaRight" fmla="*/ 3391920 w 3391560"/>
                            <a:gd name="textAreaTop" fmla="*/ 0 h 117000"/>
                            <a:gd name="textAreaBottom" fmla="*/ 117360 h 117000"/>
                          </a:gdLst>
                          <a:ahLst/>
                          <a:rect l="textAreaLeft" t="textAreaTop" r="textAreaRight" b="textAreaBottom"/>
                          <a:pathLst>
                            <a:path w="5979539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5979539" y="204215"/>
                              </a:lnTo>
                              <a:lnTo>
                                <a:pt x="59795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МИНИС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1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1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ОСКО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4"/>
          <w:szCs w:val="24"/>
          <w:u w:val="none"/>
        </w:rPr>
        <w:t>есс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5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807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1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гра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уч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1"/>
          <w:sz w:val="24"/>
          <w:szCs w:val="24"/>
          <w:u w:val="none"/>
        </w:rPr>
        <w:t>еб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1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1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1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ны</w:t>
      </w:r>
    </w:p>
    <w:p>
      <w:pPr>
        <w:pStyle w:val="Normal"/>
        <w:spacing w:lineRule="exact" w:line="18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1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1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085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ОЛОГИЯ,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ИКАЦИЯ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1080" w:right="1334" w:hanging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18.02.03«</w:t>
      </w:r>
      <w:bookmarkStart w:id="0" w:name="_Hlk103200217_Копия_1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Химическая технология неорганических веществ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81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053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8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110" w:right="407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 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язатель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специальности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18.02.03«</w:t>
      </w:r>
      <w:bookmarkStart w:id="1" w:name="_Hlk103200217_Копия_1_Копия_1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Химическая технология неорганических веществ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tabs>
          <w:tab w:val="clear" w:pos="709"/>
          <w:tab w:val="left" w:pos="2419" w:leader="none"/>
          <w:tab w:val="left" w:pos="4179" w:leader="none"/>
          <w:tab w:val="left" w:pos="6519" w:leader="none"/>
          <w:tab w:val="left" w:pos="9287" w:leader="none"/>
        </w:tabs>
        <w:spacing w:lineRule="auto" w:line="235" w:before="4" w:after="0"/>
        <w:ind w:left="110" w:right="416" w:firstLine="917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И СЕР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ебными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кла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лей.</w:t>
      </w:r>
    </w:p>
    <w:p>
      <w:pPr>
        <w:pStyle w:val="Normal"/>
        <w:spacing w:lineRule="exact" w:line="240" w:before="0" w:after="4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6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руемые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резул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осво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</w:p>
    <w:p>
      <w:pPr>
        <w:pStyle w:val="Normal"/>
        <w:widowControl w:val="false"/>
        <w:spacing w:lineRule="auto" w:line="240" w:before="0" w:after="0"/>
        <w:ind w:left="96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/>
      </w:r>
    </w:p>
    <w:p>
      <w:pPr>
        <w:pStyle w:val="Normal"/>
        <w:spacing w:lineRule="exact" w:line="5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sectPr>
          <w:type w:val="nextPage"/>
          <w:pgSz w:w="11906" w:h="16838"/>
          <w:pgMar w:left="1589" w:right="418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5000" w:type="pct"/>
        <w:jc w:val="left"/>
        <w:tblInd w:w="-3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1243"/>
        <w:gridCol w:w="3968"/>
        <w:gridCol w:w="4688"/>
      </w:tblGrid>
      <w:tr>
        <w:trPr>
          <w:trHeight w:val="657" w:hRule="exact"/>
          <w:cantSplit w:val="true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5" w:before="6" w:after="0"/>
              <w:ind w:left="172" w:right="115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-1"/>
                <w:w w:val="100"/>
                <w:sz w:val="24"/>
                <w:szCs w:val="24"/>
                <w:u w:val="none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од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ПК,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ОК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6" w:after="0"/>
              <w:ind w:left="1561" w:right="-20" w:hanging="0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1"/>
                <w:w w:val="100"/>
                <w:sz w:val="24"/>
                <w:szCs w:val="24"/>
                <w:u w:val="none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мения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6" w:after="0"/>
              <w:ind w:left="1945" w:right="-20" w:hanging="0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-1"/>
                <w:w w:val="100"/>
                <w:sz w:val="24"/>
                <w:szCs w:val="24"/>
                <w:u w:val="none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нан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1"/>
                <w:w w:val="100"/>
                <w:sz w:val="24"/>
                <w:szCs w:val="24"/>
                <w:u w:val="none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я</w:t>
            </w:r>
          </w:p>
        </w:tc>
      </w:tr>
      <w:tr>
        <w:trPr>
          <w:trHeight w:val="4426" w:hRule="exact"/>
          <w:cantSplit w:val="true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3" w:leader="none"/>
                <w:tab w:val="left" w:pos="1362" w:leader="none"/>
              </w:tabs>
              <w:bidi w:val="0"/>
              <w:spacing w:lineRule="auto" w:line="264" w:before="3" w:after="0"/>
              <w:ind w:left="108" w:right="84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-1"/>
                <w:w w:val="100"/>
                <w:sz w:val="22"/>
                <w:szCs w:val="22"/>
                <w:u w:val="none"/>
              </w:rPr>
              <w:t>О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1"/>
                <w:sz w:val="22"/>
                <w:szCs w:val="22"/>
                <w:u w:val="none"/>
              </w:rPr>
              <w:t>К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1.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25"/>
                <w:w w:val="100"/>
                <w:sz w:val="22"/>
                <w:szCs w:val="22"/>
                <w:u w:val="none"/>
              </w:rPr>
              <w:t>-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О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1"/>
                <w:sz w:val="22"/>
                <w:szCs w:val="22"/>
                <w:u w:val="none"/>
              </w:rPr>
              <w:t>К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9,.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03" w:leader="none"/>
                <w:tab w:val="left" w:pos="1362" w:leader="none"/>
              </w:tabs>
              <w:bidi w:val="0"/>
              <w:spacing w:lineRule="auto" w:line="264" w:before="3" w:after="0"/>
              <w:ind w:left="108" w:right="84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 xml:space="preserve">ПК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1.1 - 1.4,</w:t>
            </w:r>
          </w:p>
          <w:p>
            <w:pPr>
              <w:pStyle w:val="Style27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2.1, 2.2,</w:t>
            </w:r>
          </w:p>
          <w:p>
            <w:pPr>
              <w:pStyle w:val="Style27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3.1 - 3.5,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03" w:leader="none"/>
                <w:tab w:val="left" w:pos="1362" w:leader="none"/>
              </w:tabs>
              <w:bidi w:val="0"/>
              <w:spacing w:lineRule="auto" w:line="264" w:before="3" w:after="0"/>
              <w:ind w:left="108" w:right="84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4.1 - 4.5 .</w:t>
            </w:r>
          </w:p>
          <w:p>
            <w:pPr>
              <w:pStyle w:val="Normal"/>
              <w:bidi w:val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ЛР4 ЛР10 ЛР20 ЛР 2 2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использовать в профессиональной деятельности документацию систем качества;</w:t>
            </w:r>
          </w:p>
          <w:p>
            <w:pPr>
              <w:pStyle w:val="Style27"/>
              <w:spacing w:before="100" w:after="100"/>
              <w:rPr>
                <w:rFonts w:ascii="Times New Roman" w:hAnsi="Times New Roman"/>
              </w:rPr>
            </w:pPr>
            <w:r>
              <w:rPr>
                <w:rFonts w:eastAsia="Liberation Serif;Times New Roman" w:cs="Liberation Serif;Times New Roman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 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Style27"/>
              <w:spacing w:before="100" w:after="100"/>
              <w:rPr>
                <w:rFonts w:ascii="Times New Roman" w:hAnsi="Times New Roman"/>
              </w:rPr>
            </w:pPr>
            <w:r>
              <w:rPr>
                <w:rFonts w:eastAsia="Liberation Serif;Times New Roman" w:cs="Liberation Serif;Times New Roman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Style27"/>
              <w:spacing w:before="100" w:after="10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1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1"/>
                <w:sz w:val="24"/>
                <w:szCs w:val="24"/>
                <w:u w:val="none"/>
              </w:rPr>
              <w:t>4 применять требования нормативных документов к основным видам продукции (услуг) и процессов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48" w:leader="none"/>
                <w:tab w:val="left" w:pos="1781" w:leader="none"/>
                <w:tab w:val="left" w:pos="4362" w:leader="none"/>
              </w:tabs>
              <w:spacing w:lineRule="auto" w:line="235" w:before="1" w:after="0"/>
              <w:ind w:left="110" w:right="47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1задачи стандартизации, ее экономическую эффективность;</w:t>
            </w:r>
          </w:p>
          <w:p>
            <w:pPr>
              <w:pStyle w:val="Style27"/>
              <w:spacing w:before="100" w:after="100"/>
              <w:rPr>
                <w:rFonts w:ascii="Times New Roman" w:hAnsi="Times New Roman"/>
              </w:rPr>
            </w:pPr>
            <w:r>
              <w:rPr>
                <w:rFonts w:eastAsia="Liberation Serif;Times New Roman" w:cs="Liberation Serif;Times New Roman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 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Style27"/>
              <w:spacing w:before="100" w:after="100"/>
              <w:rPr>
                <w:rFonts w:ascii="Times New Roman" w:hAnsi="Times New Roman"/>
              </w:rPr>
            </w:pPr>
            <w:r>
              <w:rPr>
                <w:rFonts w:eastAsia="Liberation Serif;Times New Roman" w:cs="Liberation Serif;Times New Roman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 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Style27"/>
              <w:spacing w:before="100" w:after="10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2"/>
                <w:szCs w:val="22"/>
                <w:u w:val="none"/>
              </w:rPr>
              <w:t>4 формы подтверждения качества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589" w:right="418" w:gutter="0" w:header="0" w:top="1134" w:footer="0" w:bottom="1134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Объем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учебной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5"/>
        <w:gridCol w:w="2604"/>
      </w:tblGrid>
      <w:tr>
        <w:trPr>
          <w:trHeight w:val="490" w:hRule="atLeast"/>
        </w:trPr>
        <w:tc>
          <w:tcPr>
            <w:tcW w:w="7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7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96</w:t>
            </w:r>
          </w:p>
        </w:tc>
      </w:tr>
      <w:tr>
        <w:trPr>
          <w:trHeight w:val="336" w:hRule="atLeast"/>
        </w:trPr>
        <w:tc>
          <w:tcPr>
            <w:tcW w:w="9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7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52</w:t>
            </w:r>
          </w:p>
        </w:tc>
      </w:tr>
      <w:tr>
        <w:trPr>
          <w:trHeight w:val="490" w:hRule="atLeast"/>
        </w:trPr>
        <w:tc>
          <w:tcPr>
            <w:tcW w:w="7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лабораторные работы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*</w:t>
            </w:r>
          </w:p>
        </w:tc>
      </w:tr>
      <w:tr>
        <w:trPr>
          <w:trHeight w:val="490" w:hRule="atLeast"/>
        </w:trPr>
        <w:tc>
          <w:tcPr>
            <w:tcW w:w="7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>
        <w:trPr>
          <w:trHeight w:val="490" w:hRule="atLeast"/>
        </w:trPr>
        <w:tc>
          <w:tcPr>
            <w:tcW w:w="7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курсовая работа (проект)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(если предусмотрено для специальностей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*</w:t>
            </w:r>
          </w:p>
        </w:tc>
      </w:tr>
      <w:tr>
        <w:trPr>
          <w:trHeight w:val="267" w:hRule="atLeast"/>
        </w:trPr>
        <w:tc>
          <w:tcPr>
            <w:tcW w:w="7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>
        <w:trPr>
          <w:trHeight w:val="267" w:hRule="atLeast"/>
        </w:trPr>
        <w:tc>
          <w:tcPr>
            <w:tcW w:w="7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Консультации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*</w:t>
            </w:r>
          </w:p>
        </w:tc>
      </w:tr>
      <w:tr>
        <w:trPr>
          <w:trHeight w:val="331" w:hRule="atLeast"/>
        </w:trPr>
        <w:tc>
          <w:tcPr>
            <w:tcW w:w="7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экзамена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824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дисци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</w:p>
    <w:p>
      <w:pPr>
        <w:pStyle w:val="Normal"/>
        <w:spacing w:lineRule="exact" w:line="16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09"/>
          <w:tab w:val="left" w:pos="3559" w:leader="none"/>
        </w:tabs>
        <w:spacing w:lineRule="auto" w:line="240" w:before="0" w:after="0"/>
        <w:ind w:left="0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1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ОЛОГИИ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ЦИИ —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18 часов</w:t>
      </w:r>
    </w:p>
    <w:p>
      <w:pPr>
        <w:pStyle w:val="Normal"/>
        <w:spacing w:lineRule="exact" w:line="16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УД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ННАЯ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1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—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24 часов</w:t>
      </w:r>
    </w:p>
    <w:p>
      <w:pPr>
        <w:pStyle w:val="Normal"/>
        <w:spacing w:lineRule="exact" w:line="16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09"/>
          <w:tab w:val="left" w:pos="6089" w:leader="none"/>
        </w:tabs>
        <w:spacing w:lineRule="auto" w:line="240" w:before="0" w:after="0"/>
        <w:ind w:left="0" w:right="-20" w:hanging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2"/>
          <w:szCs w:val="22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1"/>
          <w:sz w:val="22"/>
          <w:szCs w:val="22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2"/>
          <w:szCs w:val="22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 xml:space="preserve">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2"/>
          <w:szCs w:val="22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2"/>
          <w:szCs w:val="22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2"/>
          <w:szCs w:val="22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 xml:space="preserve">ЦИИ —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16 часов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8"/>
          <w:szCs w:val="28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8"/>
          <w:szCs w:val="28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2"/>
          <w:szCs w:val="22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1"/>
          <w:sz w:val="22"/>
          <w:szCs w:val="22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ДТВ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1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2"/>
          <w:szCs w:val="22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 xml:space="preserve">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2"/>
          <w:szCs w:val="22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1"/>
          <w:sz w:val="22"/>
          <w:szCs w:val="22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2"/>
          <w:szCs w:val="22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2"/>
          <w:szCs w:val="22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2"/>
          <w:szCs w:val="22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 xml:space="preserve">ИЯ -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 часа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0"/>
          <w:szCs w:val="20"/>
          <w:u w:val="none"/>
        </w:rPr>
      </w:pPr>
      <w:r>
        <w:rPr/>
      </w:r>
    </w:p>
    <w:sectPr>
      <w:type w:val="continuous"/>
      <w:pgSz w:w="11906" w:h="16838"/>
      <w:pgMar w:left="1589" w:right="418" w:gutter="0" w:header="0" w:top="1134" w:footer="0" w:bottom="1134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WW">
    <w:name w:val="WW-Символ концевой сноски"/>
    <w:qFormat/>
    <w:rPr/>
  </w:style>
  <w:style w:type="character" w:styleId="Style14">
    <w:name w:val="Текст сноски Знак"/>
    <w:qFormat/>
    <w:rPr>
      <w:lang w:val="en-US"/>
    </w:rPr>
  </w:style>
  <w:style w:type="character" w:styleId="Style15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Style16">
    <w:name w:val="Символ сноски"/>
    <w:qFormat/>
    <w:rPr/>
  </w:style>
  <w:style w:type="character" w:styleId="Style17">
    <w:name w:val="Footnote Reference"/>
    <w:rPr>
      <w:vertAlign w:val="superscript"/>
    </w:rPr>
  </w:style>
  <w:style w:type="character" w:styleId="Style18">
    <w:name w:val="Endnote Reference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Footnote Text"/>
    <w:basedOn w:val="Normal"/>
    <w:pPr/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LibreOffice/7.4.7.2$Windows_X86_64 LibreOffice_project/723314e595e8007d3cf785c16538505a1c878ca5</Application>
  <AppVersion>15.0000</AppVersion>
  <Pages>2</Pages>
  <Words>288</Words>
  <Characters>2159</Characters>
  <CharactersWithSpaces>2410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2023-09-06T21:12:52Z</dcterms:modified>
  <cp:revision>5</cp:revision>
  <dc:subject/>
  <dc:title/>
</cp:coreProperties>
</file>