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589" w14:textId="77777777" w:rsidR="00243B29" w:rsidRDefault="00243B29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375F920E" w14:textId="16B64CC1" w:rsidR="00243B29" w:rsidRPr="00243B29" w:rsidRDefault="00243B29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45422935"/>
      <w:r w:rsidRPr="00243B29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14:paraId="48F60B9E" w14:textId="77777777" w:rsidR="0084422D" w:rsidRDefault="00243B29" w:rsidP="0084422D">
      <w:pPr>
        <w:spacing w:after="0"/>
        <w:ind w:right="17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677">
        <w:rPr>
          <w:rFonts w:ascii="Times New Roman" w:eastAsia="Times New Roman" w:hAnsi="Times New Roman" w:cs="Times New Roman"/>
          <w:bCs/>
          <w:sz w:val="28"/>
          <w:szCs w:val="28"/>
        </w:rPr>
        <w:t>ПМ.0</w:t>
      </w:r>
      <w:r w:rsidR="00FB5E7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276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0"/>
      <w:r w:rsidR="0084422D" w:rsidRPr="0084422D">
        <w:rPr>
          <w:rFonts w:ascii="Times New Roman" w:eastAsia="Times New Roman" w:hAnsi="Times New Roman" w:cs="Times New Roman"/>
          <w:bCs/>
          <w:sz w:val="28"/>
          <w:szCs w:val="28"/>
        </w:rPr>
        <w:t>Выполнение работ по одной</w:t>
      </w:r>
    </w:p>
    <w:p w14:paraId="6872F4D5" w14:textId="222875E8" w:rsidR="00243B29" w:rsidRPr="00243B29" w:rsidRDefault="0084422D" w:rsidP="0084422D">
      <w:pPr>
        <w:spacing w:after="0"/>
        <w:ind w:right="17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22D">
        <w:rPr>
          <w:rFonts w:ascii="Times New Roman" w:eastAsia="Times New Roman" w:hAnsi="Times New Roman" w:cs="Times New Roman"/>
          <w:bCs/>
          <w:sz w:val="28"/>
          <w:szCs w:val="28"/>
        </w:rPr>
        <w:t>или нескольким профессиям рабочих</w:t>
      </w:r>
    </w:p>
    <w:p w14:paraId="034DCF9C" w14:textId="77777777" w:rsidR="0084422D" w:rsidRDefault="0084422D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F66FC5" w14:textId="05400007" w:rsidR="00243B29" w:rsidRPr="00243B29" w:rsidRDefault="00243B29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</w:p>
    <w:p w14:paraId="2A3D4B56" w14:textId="70D46538" w:rsidR="00243B29" w:rsidRPr="00243B29" w:rsidRDefault="00FB5E75" w:rsidP="00FB5E75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243B29" w:rsidRPr="00243B29">
        <w:rPr>
          <w:rFonts w:ascii="Times New Roman" w:eastAsia="Times New Roman" w:hAnsi="Times New Roman" w:cs="Times New Roman"/>
          <w:bCs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43B29" w:rsidRPr="00243B2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Химическая технология неорганических веществ</w:t>
      </w:r>
      <w:r w:rsidR="00243B29" w:rsidRPr="00243B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0C7FEE86" w14:textId="77777777" w:rsidR="00243B29" w:rsidRPr="00243B29" w:rsidRDefault="00243B29" w:rsidP="00243B29">
      <w:pPr>
        <w:suppressAutoHyphens w:val="0"/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A13F02" w14:textId="77777777" w:rsidR="00243B29" w:rsidRDefault="00243B29">
      <w:pPr>
        <w:spacing w:after="132"/>
        <w:ind w:left="161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F56CABB" w14:textId="17BA0499" w:rsidR="00A71F29" w:rsidRPr="00FB5E75" w:rsidRDefault="00FB5E75" w:rsidP="00FB5E75">
      <w:pPr>
        <w:suppressAutoHyphens w:val="0"/>
        <w:spacing w:after="68"/>
        <w:ind w:left="10" w:right="76" w:hanging="10"/>
        <w:jc w:val="both"/>
        <w:rPr>
          <w:rFonts w:ascii="Times New Roman" w:eastAsia="Times New Roman" w:hAnsi="Times New Roman" w:cs="Times New Roman"/>
          <w:sz w:val="28"/>
        </w:rPr>
      </w:pPr>
      <w:r w:rsidRPr="00FB5E75"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FB5E75">
        <w:rPr>
          <w:rFonts w:ascii="Times New Roman" w:eastAsia="Times New Roman" w:hAnsi="Times New Roman" w:cs="Times New Roman"/>
          <w:sz w:val="28"/>
        </w:rPr>
        <w:t>Рабочая программа профессионального модуля «ПМ.05 Выполнение работ по одной или нескольким профессиям рабочих, должностям служащих»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18.02.03 «Химическая технология неорганических веществ», утверждённого приказом Министерства образования и науки Российской Федерации от 22.04.2014 года № 385 (ред. от 09.04.2015) «Об утверждении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веществ» (Зарегистрировано в Минюсте России 18.06.2014 № 32745).</w:t>
      </w:r>
    </w:p>
    <w:p w14:paraId="6932C8E6" w14:textId="77777777" w:rsidR="00FB5E75" w:rsidRDefault="00FB5E75" w:rsidP="00FB5E75">
      <w:pPr>
        <w:suppressAutoHyphens w:val="0"/>
        <w:spacing w:after="68"/>
        <w:ind w:left="10" w:right="76" w:hanging="294"/>
        <w:jc w:val="both"/>
        <w:rPr>
          <w:rFonts w:ascii="Times New Roman" w:eastAsia="Times New Roman" w:hAnsi="Times New Roman" w:cs="Times New Roman"/>
          <w:sz w:val="28"/>
        </w:rPr>
      </w:pPr>
    </w:p>
    <w:p w14:paraId="3FAC51F5" w14:textId="77777777" w:rsidR="00A71F29" w:rsidRDefault="00000000" w:rsidP="00827677">
      <w:pPr>
        <w:spacing w:after="143" w:line="254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2). Цель и планируемые результаты освоения профессионального модуля:</w:t>
      </w:r>
    </w:p>
    <w:p w14:paraId="7CC99796" w14:textId="1AAC113C" w:rsidR="00A71F29" w:rsidRDefault="00FB5E75">
      <w:pPr>
        <w:spacing w:after="143"/>
      </w:pPr>
      <w:r w:rsidRPr="00FB5E75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6"/>
        <w:gridCol w:w="8060"/>
      </w:tblGrid>
      <w:tr w:rsidR="00A71F29" w14:paraId="5BFB807E" w14:textId="77777777" w:rsidTr="00FB5E75">
        <w:tc>
          <w:tcPr>
            <w:tcW w:w="1296" w:type="dxa"/>
          </w:tcPr>
          <w:p w14:paraId="5CC94A27" w14:textId="77777777" w:rsidR="00A71F29" w:rsidRDefault="0000000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Иметь практический опыт</w:t>
            </w:r>
          </w:p>
        </w:tc>
        <w:tc>
          <w:tcPr>
            <w:tcW w:w="8060" w:type="dxa"/>
          </w:tcPr>
          <w:p w14:paraId="02869494" w14:textId="77777777" w:rsidR="00750EA3" w:rsidRPr="00750EA3" w:rsidRDefault="00750EA3" w:rsidP="00750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0E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50E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подготовки и проведения лабораторных работ; </w:t>
            </w:r>
          </w:p>
          <w:p w14:paraId="7FFE9B29" w14:textId="77777777" w:rsidR="00750EA3" w:rsidRPr="00750EA3" w:rsidRDefault="00750EA3" w:rsidP="00750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0E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50E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поиска информации для улучшения качества полученных результатов; </w:t>
            </w:r>
          </w:p>
          <w:p w14:paraId="65936E97" w14:textId="77777777" w:rsidR="00750EA3" w:rsidRPr="00750EA3" w:rsidRDefault="00750EA3" w:rsidP="00750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0E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50E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ведения журнала выполненных анализов; </w:t>
            </w:r>
          </w:p>
          <w:p w14:paraId="6406855F" w14:textId="77777777" w:rsidR="00750EA3" w:rsidRPr="00750EA3" w:rsidRDefault="00750EA3" w:rsidP="00750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0E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50E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расчетов при выполнении заданных анализов; </w:t>
            </w:r>
          </w:p>
          <w:p w14:paraId="28E3EF7F" w14:textId="69378AA4" w:rsidR="00750EA3" w:rsidRDefault="00750EA3" w:rsidP="00750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0E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50E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подбора оборудования для проведения заданных анализов.</w:t>
            </w:r>
          </w:p>
          <w:p w14:paraId="7767963C" w14:textId="6E5FDEA4" w:rsidR="00A71F29" w:rsidRDefault="00A71F29" w:rsidP="00750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A71F29" w14:paraId="5F87D357" w14:textId="77777777" w:rsidTr="00FB5E75">
        <w:tc>
          <w:tcPr>
            <w:tcW w:w="1296" w:type="dxa"/>
          </w:tcPr>
          <w:p w14:paraId="5A7D55FC" w14:textId="77777777" w:rsidR="00A71F29" w:rsidRDefault="0000000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уметь</w:t>
            </w:r>
          </w:p>
        </w:tc>
        <w:tc>
          <w:tcPr>
            <w:tcW w:w="8060" w:type="dxa"/>
          </w:tcPr>
          <w:p w14:paraId="350275D2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отбирать и готовить пробы веществ для анализа; </w:t>
            </w:r>
          </w:p>
          <w:p w14:paraId="3A6ED766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готовить растворы различных концентраций;  </w:t>
            </w:r>
          </w:p>
          <w:p w14:paraId="494A434A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проводить простейшие анализы различных веществ;  </w:t>
            </w:r>
          </w:p>
          <w:p w14:paraId="4104428D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пользоваться лабораторным оборудованием и приборами для проведения лабораторных анализов;  </w:t>
            </w:r>
          </w:p>
          <w:p w14:paraId="5B79FECD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правильно пользоваться лабораторной посудой;  </w:t>
            </w:r>
          </w:p>
          <w:p w14:paraId="7230E7AB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грамотно вести документацию по выполненным анализам;</w:t>
            </w:r>
          </w:p>
          <w:p w14:paraId="3FBD62E5" w14:textId="662ABCA9" w:rsidR="00A71F29" w:rsidRDefault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анализировать полученные результаты и вычислять погрешности</w:t>
            </w:r>
          </w:p>
        </w:tc>
      </w:tr>
      <w:tr w:rsidR="00A71F29" w14:paraId="159043B7" w14:textId="77777777" w:rsidTr="00FB5E75">
        <w:tc>
          <w:tcPr>
            <w:tcW w:w="1296" w:type="dxa"/>
          </w:tcPr>
          <w:p w14:paraId="78C39CE0" w14:textId="77777777" w:rsidR="00A71F29" w:rsidRDefault="0000000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8060" w:type="dxa"/>
          </w:tcPr>
          <w:p w14:paraId="6636B7F4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правила обращения и применения химической посуды;  </w:t>
            </w:r>
          </w:p>
          <w:p w14:paraId="5C3C0878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способы мытья и сушки химической посуды;  </w:t>
            </w:r>
          </w:p>
          <w:p w14:paraId="061DD4F7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правила безопасной работы в химической лаборатории;  </w:t>
            </w:r>
          </w:p>
          <w:p w14:paraId="417FB463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правила безопасного обращения с реактивами, крепкими кислотами, щелочами, с ядовитыми и летучими веществами;  </w:t>
            </w:r>
          </w:p>
          <w:p w14:paraId="5B381DB1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приѐмы и методы безопасного проведения лабораторных анализов;  </w:t>
            </w:r>
          </w:p>
          <w:p w14:paraId="12D80671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теоретические основы методов анализов;  </w:t>
            </w:r>
          </w:p>
          <w:p w14:paraId="047BC930" w14:textId="77777777" w:rsidR="00AB7FB1" w:rsidRPr="00AB7FB1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правила и методы отбора, транспортировки и хранения проб;</w:t>
            </w:r>
          </w:p>
          <w:p w14:paraId="7F8111AE" w14:textId="1BE1E964" w:rsidR="00A71F29" w:rsidRDefault="00AB7FB1" w:rsidP="00AB7F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B7F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правила ведения документации.</w:t>
            </w:r>
          </w:p>
        </w:tc>
      </w:tr>
    </w:tbl>
    <w:tbl>
      <w:tblPr>
        <w:tblpPr w:leftFromText="180" w:rightFromText="180" w:vertAnchor="text" w:horzAnchor="page" w:tblpX="847" w:tblpY="481"/>
        <w:tblW w:w="9234" w:type="dxa"/>
        <w:tblLayout w:type="fixed"/>
        <w:tblLook w:val="04A0" w:firstRow="1" w:lastRow="0" w:firstColumn="1" w:lastColumn="0" w:noHBand="0" w:noVBand="1"/>
      </w:tblPr>
      <w:tblGrid>
        <w:gridCol w:w="1411"/>
        <w:gridCol w:w="7823"/>
      </w:tblGrid>
      <w:tr w:rsidR="00A71F29" w14:paraId="1E34DFAE" w14:textId="77777777" w:rsidTr="00AB7FB1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7529" w14:textId="77777777" w:rsidR="00A71F29" w:rsidRDefault="00000000">
            <w:pPr>
              <w:pageBreakBefore/>
              <w:widowControl w:val="0"/>
              <w:spacing w:after="437" w:line="254" w:lineRule="auto"/>
              <w:ind w:left="115" w:firstLine="4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Код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807D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общих компетенций</w:t>
            </w:r>
          </w:p>
        </w:tc>
      </w:tr>
      <w:tr w:rsidR="00E52CB0" w14:paraId="36DF1D3F" w14:textId="77777777" w:rsidTr="00AB7FB1">
        <w:trPr>
          <w:trHeight w:hRule="exact" w:val="77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C664" w14:textId="44C36896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D34D" w14:textId="0FD6E417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52CB0" w14:paraId="7DC0038A" w14:textId="77777777" w:rsidTr="00AB7FB1">
        <w:trPr>
          <w:trHeight w:hRule="exact" w:val="114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BF6C" w14:textId="1790125E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5B4A" w14:textId="41F8F57C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E52CB0" w14:paraId="64679C6C" w14:textId="77777777" w:rsidTr="00AB7FB1">
        <w:trPr>
          <w:trHeight w:hRule="exact" w:val="71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C748" w14:textId="0D1D6BC1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02A1" w14:textId="06EE798E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E52CB0" w14:paraId="08314A6B" w14:textId="77777777" w:rsidTr="00AB7FB1">
        <w:trPr>
          <w:trHeight w:hRule="exact" w:val="71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298B" w14:textId="3C4A43D4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65DB" w14:textId="05B9F875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E52CB0" w14:paraId="5B653B6F" w14:textId="77777777" w:rsidTr="00AB7FB1">
        <w:trPr>
          <w:trHeight w:hRule="exact" w:val="71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2E63" w14:textId="1A85B0DC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8E7D" w14:textId="4A7D5900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E52CB0" w14:paraId="6673C5EE" w14:textId="77777777" w:rsidTr="00AB7FB1">
        <w:trPr>
          <w:trHeight w:hRule="exact" w:val="71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E7EA" w14:textId="64FC2BA1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BAF2" w14:textId="45CC2D31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</w:tr>
      <w:tr w:rsidR="00E52CB0" w14:paraId="0600FAC1" w14:textId="77777777" w:rsidTr="00AB7FB1">
        <w:trPr>
          <w:trHeight w:hRule="exact" w:val="11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B450" w14:textId="3332C7AF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19CA" w14:textId="44EE829F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E52CB0" w14:paraId="3A567D58" w14:textId="77777777" w:rsidTr="00AB7FB1">
        <w:trPr>
          <w:trHeight w:hRule="exact" w:val="85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8392" w14:textId="13F1BF05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ОК 09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607E" w14:textId="0D15F517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A71F29" w14:paraId="5A6DD845" w14:textId="77777777" w:rsidTr="00AB7FB1">
        <w:trPr>
          <w:trHeight w:hRule="exact" w:val="71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7F5A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ЛР1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73D7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Осознающий себя гражданином и защитником великой страны.</w:t>
            </w:r>
          </w:p>
        </w:tc>
      </w:tr>
      <w:tr w:rsidR="00A71F29" w14:paraId="7596B680" w14:textId="77777777" w:rsidTr="00AB7FB1">
        <w:trPr>
          <w:trHeight w:hRule="exact" w:val="11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AEC0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ЛР16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D3DE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</w:tr>
      <w:tr w:rsidR="00A71F29" w14:paraId="7AD6D63A" w14:textId="77777777" w:rsidTr="00AB7FB1">
        <w:trPr>
          <w:trHeight w:hRule="exact" w:val="11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37F3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ЛР17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2B0A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</w:t>
            </w:r>
          </w:p>
        </w:tc>
      </w:tr>
      <w:tr w:rsidR="00A71F29" w14:paraId="4301512C" w14:textId="77777777" w:rsidTr="00AB7FB1">
        <w:trPr>
          <w:trHeight w:hRule="exact" w:val="11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66BC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ЛР18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F0EB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 w:rsidR="00A71F29" w14:paraId="26266CD9" w14:textId="77777777" w:rsidTr="00AB7FB1">
        <w:trPr>
          <w:trHeight w:hRule="exact" w:val="113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CABF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ЛР19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B8FC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14:paraId="2B2A7762" w14:textId="77777777" w:rsidR="00A71F29" w:rsidRDefault="00000000">
      <w:pPr>
        <w:spacing w:after="344" w:line="254" w:lineRule="auto"/>
        <w:ind w:left="19" w:hanging="10"/>
      </w:pPr>
      <w:r>
        <w:rPr>
          <w:rFonts w:ascii="Times New Roman" w:eastAsia="Times New Roman" w:hAnsi="Times New Roman" w:cs="Times New Roman"/>
          <w:sz w:val="28"/>
          <w:szCs w:val="28"/>
        </w:rPr>
        <w:t>3). Перечень</w:t>
      </w:r>
      <w:r>
        <w:rPr>
          <w:rFonts w:ascii="Times New Roman" w:eastAsia="Times New Roman" w:hAnsi="Times New Roman" w:cs="Times New Roman"/>
          <w:sz w:val="28"/>
        </w:rPr>
        <w:t xml:space="preserve"> общих компетенций, показатели личностного развития</w:t>
      </w:r>
    </w:p>
    <w:p w14:paraId="46A131EB" w14:textId="77777777" w:rsidR="00E52CB0" w:rsidRDefault="00E52C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14:paraId="71351174" w14:textId="0A219D6E" w:rsidR="00A71F29" w:rsidRDefault="00000000">
      <w:pPr>
        <w:spacing w:after="120" w:line="240" w:lineRule="auto"/>
        <w:ind w:left="119"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профессиональных компетенций</w:t>
      </w:r>
    </w:p>
    <w:tbl>
      <w:tblPr>
        <w:tblW w:w="9014" w:type="dxa"/>
        <w:tblLayout w:type="fixed"/>
        <w:tblLook w:val="04A0" w:firstRow="1" w:lastRow="0" w:firstColumn="1" w:lastColumn="0" w:noHBand="0" w:noVBand="1"/>
      </w:tblPr>
      <w:tblGrid>
        <w:gridCol w:w="1413"/>
        <w:gridCol w:w="7601"/>
      </w:tblGrid>
      <w:tr w:rsidR="00A71F29" w14:paraId="78D65A4A" w14:textId="77777777" w:rsidTr="00E52CB0">
        <w:trPr>
          <w:trHeight w:hRule="exact" w:val="9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8A53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Код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D4E" w14:textId="77777777" w:rsidR="00A71F29" w:rsidRDefault="0000000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видов деятельности и профессиональных компетенций</w:t>
            </w:r>
          </w:p>
        </w:tc>
      </w:tr>
      <w:tr w:rsidR="00E52CB0" w14:paraId="620ADDAE" w14:textId="77777777" w:rsidTr="00E52CB0">
        <w:trPr>
          <w:trHeight w:hRule="exact" w:val="85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A762" w14:textId="4A286117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ПК 5.1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25FA" w14:textId="247E4B4C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52CB0" w14:paraId="71BDA1A0" w14:textId="77777777" w:rsidTr="00E52CB0">
        <w:trPr>
          <w:trHeight w:hRule="exact" w:val="11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51C6" w14:textId="0772620E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ПК 5.2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28C" w14:textId="6196E695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E52CB0" w14:paraId="5DC2FE2A" w14:textId="77777777" w:rsidTr="00E52CB0">
        <w:trPr>
          <w:trHeight w:hRule="exact" w:val="86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5CE1" w14:textId="0F1DDB4A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ПК 5.3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F0FD" w14:textId="53B02B14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E52CB0" w14:paraId="2B198A89" w14:textId="77777777" w:rsidTr="00E52CB0">
        <w:trPr>
          <w:trHeight w:hRule="exact" w:val="99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6C73" w14:textId="65948E24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ПК 5.4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2D6D" w14:textId="27F648FE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E52CB0" w14:paraId="73C56779" w14:textId="77777777" w:rsidTr="00E52CB0">
        <w:trPr>
          <w:trHeight w:hRule="exact" w:val="7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1917" w14:textId="0EFB9BCC" w:rsid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ПК 5.5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51C2" w14:textId="2E5B1376" w:rsidR="00E52CB0" w:rsidRPr="00E52CB0" w:rsidRDefault="00E52CB0" w:rsidP="00E52CB0">
            <w:pPr>
              <w:widowControl w:val="0"/>
              <w:spacing w:after="437" w:line="254" w:lineRule="auto"/>
              <w:ind w:left="115" w:hanging="1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E52CB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</w:tbl>
    <w:p w14:paraId="0DE47EBE" w14:textId="77777777" w:rsidR="00A71F29" w:rsidRDefault="00A71F29">
      <w:pPr>
        <w:spacing w:after="0" w:line="240" w:lineRule="auto"/>
        <w:ind w:left="119" w:hanging="11"/>
        <w:rPr>
          <w:rFonts w:ascii="Times New Roman" w:eastAsia="Times New Roman" w:hAnsi="Times New Roman" w:cs="Times New Roman"/>
          <w:sz w:val="28"/>
        </w:rPr>
      </w:pPr>
    </w:p>
    <w:p w14:paraId="11DEF1C1" w14:textId="3D04388D" w:rsidR="00A71F29" w:rsidRDefault="000000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4). Всего часов: </w:t>
      </w:r>
      <w:r w:rsidR="00E52CB0">
        <w:rPr>
          <w:rFonts w:ascii="Times New Roman" w:eastAsia="Times New Roman" w:hAnsi="Times New Roman" w:cs="Times New Roman"/>
          <w:sz w:val="28"/>
          <w:szCs w:val="28"/>
        </w:rPr>
        <w:t>339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14:paraId="30ED2B77" w14:textId="02A0A541" w:rsidR="00A71F29" w:rsidRDefault="000000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них: на освоение МДК </w:t>
      </w:r>
      <w:r w:rsidR="004416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1939">
        <w:rPr>
          <w:rFonts w:ascii="Times New Roman" w:eastAsia="Times New Roman" w:hAnsi="Times New Roman" w:cs="Times New Roman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14:paraId="15A95078" w14:textId="400768F8" w:rsidR="00A71F29" w:rsidRDefault="00000000">
      <w:pPr>
        <w:spacing w:after="0" w:line="276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практик</w:t>
      </w:r>
      <w:r w:rsidR="0044167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CD1">
        <w:rPr>
          <w:rFonts w:ascii="Times New Roman" w:eastAsia="Times New Roman" w:hAnsi="Times New Roman" w:cs="Times New Roman"/>
          <w:sz w:val="28"/>
          <w:szCs w:val="28"/>
        </w:rPr>
        <w:t>учебную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673">
        <w:rPr>
          <w:rFonts w:ascii="Times New Roman" w:eastAsia="Times New Roman" w:hAnsi="Times New Roman" w:cs="Times New Roman"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14:paraId="1B80D613" w14:textId="77777777" w:rsidR="00A71F29" w:rsidRDefault="00A7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14:paraId="4E667E96" w14:textId="77777777" w:rsidR="00661939" w:rsidRDefault="00000000" w:rsidP="006619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5). </w:t>
      </w:r>
      <w:r w:rsidR="00661939" w:rsidRPr="00661939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профессионального модуля </w:t>
      </w:r>
    </w:p>
    <w:p w14:paraId="21D9D871" w14:textId="6A11B205" w:rsidR="00A71F29" w:rsidRDefault="00661939" w:rsidP="00661939"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61939">
        <w:rPr>
          <w:rFonts w:ascii="Times New Roman" w:eastAsia="Times New Roman" w:hAnsi="Times New Roman" w:cs="Times New Roman"/>
          <w:sz w:val="28"/>
        </w:rPr>
        <w:t>Основные требования к устройству химической лаборатории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3D513534" w14:textId="3BD1865E" w:rsidR="00A71F29" w:rsidRDefault="00000000" w:rsidP="00661939">
      <w:pPr>
        <w:spacing w:after="293" w:line="247" w:lineRule="auto"/>
        <w:ind w:left="82" w:hanging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ab/>
      </w:r>
      <w:r w:rsidR="00661939" w:rsidRPr="00661939">
        <w:rPr>
          <w:rFonts w:ascii="Times New Roman" w:eastAsia="Times New Roman" w:hAnsi="Times New Roman" w:cs="Times New Roman"/>
          <w:sz w:val="28"/>
        </w:rPr>
        <w:t>Химическая посуда, лабораторные принадлежности. Реактивы и реагенты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6F72D0AC" w14:textId="44B71B25" w:rsidR="00A71F29" w:rsidRDefault="00000000" w:rsidP="00661939">
      <w:pPr>
        <w:spacing w:after="293" w:line="247" w:lineRule="auto"/>
        <w:ind w:left="82" w:hanging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ab/>
      </w:r>
      <w:r w:rsidR="00661939" w:rsidRPr="00661939">
        <w:rPr>
          <w:rFonts w:ascii="Times New Roman" w:eastAsia="Times New Roman" w:hAnsi="Times New Roman" w:cs="Times New Roman"/>
          <w:sz w:val="28"/>
        </w:rPr>
        <w:t>Основные приемы работы в лаборатории</w:t>
      </w:r>
      <w:r w:rsidR="00661939">
        <w:rPr>
          <w:rFonts w:ascii="Times New Roman" w:eastAsia="Times New Roman" w:hAnsi="Times New Roman" w:cs="Times New Roman"/>
          <w:sz w:val="28"/>
        </w:rPr>
        <w:t>;</w:t>
      </w:r>
    </w:p>
    <w:p w14:paraId="22BC4CF3" w14:textId="1F98F69C" w:rsidR="00A71F29" w:rsidRDefault="00000000" w:rsidP="00661939">
      <w:pPr>
        <w:spacing w:after="293" w:line="247" w:lineRule="auto"/>
        <w:ind w:left="82" w:hanging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ab/>
      </w:r>
      <w:r w:rsidR="00661939" w:rsidRPr="00661939">
        <w:rPr>
          <w:rFonts w:ascii="Times New Roman" w:eastAsia="Times New Roman" w:hAnsi="Times New Roman" w:cs="Times New Roman"/>
          <w:sz w:val="28"/>
        </w:rPr>
        <w:t>Приборный анализ в лаборатории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4545A725" w14:textId="1837128F" w:rsidR="00A71F29" w:rsidRDefault="00441673" w:rsidP="00661939">
      <w:pPr>
        <w:spacing w:after="293" w:line="247" w:lineRule="auto"/>
        <w:ind w:left="82" w:hanging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ab/>
      </w:r>
      <w:r w:rsidR="004A2CD1">
        <w:rPr>
          <w:rFonts w:ascii="Times New Roman" w:eastAsia="Times New Roman" w:hAnsi="Times New Roman" w:cs="Times New Roman"/>
          <w:sz w:val="28"/>
        </w:rPr>
        <w:t>Учебная</w:t>
      </w:r>
      <w:r>
        <w:rPr>
          <w:rFonts w:ascii="Times New Roman" w:eastAsia="Times New Roman" w:hAnsi="Times New Roman" w:cs="Times New Roman"/>
          <w:sz w:val="28"/>
        </w:rPr>
        <w:t xml:space="preserve"> практика 144 час.</w:t>
      </w:r>
    </w:p>
    <w:p w14:paraId="0EB4C452" w14:textId="51291516" w:rsidR="00A71F2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– задание по производственной практике модуля</w:t>
      </w:r>
    </w:p>
    <w:p w14:paraId="47DC389C" w14:textId="77777777" w:rsidR="00A71F29" w:rsidRDefault="00000000">
      <w:pPr>
        <w:spacing w:after="293" w:line="249" w:lineRule="auto"/>
        <w:ind w:left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Изучение основных требований к подготовке и оформлению технических документов для проведения процедуры сертификации.</w:t>
      </w:r>
    </w:p>
    <w:p w14:paraId="667482B3" w14:textId="77777777" w:rsidR="00A71F29" w:rsidRDefault="00000000">
      <w:pPr>
        <w:spacing w:after="293" w:line="249" w:lineRule="auto"/>
        <w:ind w:left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Изучение и освоение приемов работы по оформлению документации на подтверждение соответствия продукции (услуг).</w:t>
      </w:r>
    </w:p>
    <w:p w14:paraId="1EC6F88D" w14:textId="77777777" w:rsidR="00A71F29" w:rsidRDefault="00000000">
      <w:pPr>
        <w:spacing w:after="293" w:line="249" w:lineRule="auto"/>
        <w:ind w:left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 Освоение базовых навыков выполнения учета и оформления отчетности о деятельности организации по сертификации продукции (услуг) отрасли.</w:t>
      </w:r>
    </w:p>
    <w:p w14:paraId="523A05CC" w14:textId="77777777" w:rsidR="00A71F29" w:rsidRDefault="00000000">
      <w:pPr>
        <w:spacing w:after="293" w:line="249" w:lineRule="auto"/>
        <w:ind w:left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Изучение методики разработки стандартов организации, технических условий на выпускаемую продукцию в соответствии с требованиями ГОСТ.</w:t>
      </w:r>
    </w:p>
    <w:p w14:paraId="16FD5561" w14:textId="77777777" w:rsidR="00A71F29" w:rsidRDefault="00000000">
      <w:pPr>
        <w:spacing w:after="293" w:line="249" w:lineRule="auto"/>
        <w:ind w:left="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Изучение инструкций: по охране труда, пожарной безопасности, электробезопасности и правил санитарии. Освоение основных приемов безопасного производства работ на различных рабочих местах.</w:t>
      </w:r>
    </w:p>
    <w:p w14:paraId="0FC11DCB" w14:textId="77777777" w:rsidR="00A71F29" w:rsidRDefault="00000000">
      <w:pPr>
        <w:spacing w:after="138" w:line="252" w:lineRule="auto"/>
        <w:ind w:left="88" w:right="1620"/>
      </w:pPr>
      <w:r>
        <w:rPr>
          <w:rFonts w:ascii="Times New Roman" w:eastAsia="Times New Roman" w:hAnsi="Times New Roman" w:cs="Times New Roman"/>
          <w:sz w:val="28"/>
        </w:rPr>
        <w:t>6). Периодичность и формы текущего контроля и промежуточной аттестации:</w:t>
      </w:r>
    </w:p>
    <w:p w14:paraId="1DE6702E" w14:textId="19CE56D8" w:rsidR="00441673" w:rsidRPr="00441673" w:rsidRDefault="00441673" w:rsidP="00441673">
      <w:pPr>
        <w:spacing w:after="0"/>
        <w:ind w:left="88"/>
        <w:rPr>
          <w:rFonts w:ascii="Times New Roman" w:eastAsia="Times New Roman" w:hAnsi="Times New Roman" w:cs="Times New Roman"/>
          <w:sz w:val="28"/>
        </w:rPr>
      </w:pPr>
      <w:r w:rsidRPr="00441673">
        <w:rPr>
          <w:rFonts w:ascii="Times New Roman" w:eastAsia="Times New Roman" w:hAnsi="Times New Roman" w:cs="Times New Roman"/>
          <w:sz w:val="28"/>
        </w:rPr>
        <w:t>ПМ дифференцированный зачет и экзамен по МДК 0</w:t>
      </w:r>
      <w:r w:rsidR="00AC1300">
        <w:rPr>
          <w:rFonts w:ascii="Times New Roman" w:eastAsia="Times New Roman" w:hAnsi="Times New Roman" w:cs="Times New Roman"/>
          <w:sz w:val="28"/>
        </w:rPr>
        <w:t>5</w:t>
      </w:r>
      <w:r w:rsidRPr="00441673">
        <w:rPr>
          <w:rFonts w:ascii="Times New Roman" w:eastAsia="Times New Roman" w:hAnsi="Times New Roman" w:cs="Times New Roman"/>
          <w:sz w:val="28"/>
        </w:rPr>
        <w:t xml:space="preserve">.01 во </w:t>
      </w:r>
      <w:r w:rsidR="004A2CD1">
        <w:rPr>
          <w:rFonts w:ascii="Times New Roman" w:eastAsia="Times New Roman" w:hAnsi="Times New Roman" w:cs="Times New Roman"/>
          <w:sz w:val="28"/>
        </w:rPr>
        <w:t>4</w:t>
      </w:r>
      <w:r w:rsidRPr="00441673">
        <w:rPr>
          <w:rFonts w:ascii="Times New Roman" w:eastAsia="Times New Roman" w:hAnsi="Times New Roman" w:cs="Times New Roman"/>
          <w:sz w:val="28"/>
        </w:rPr>
        <w:t xml:space="preserve"> семестре 6 час.</w:t>
      </w:r>
    </w:p>
    <w:p w14:paraId="74346672" w14:textId="53BA1F2A" w:rsidR="00A71F29" w:rsidRDefault="00441673" w:rsidP="00441673">
      <w:pPr>
        <w:spacing w:after="0"/>
        <w:ind w:left="88"/>
      </w:pPr>
      <w:r w:rsidRPr="00441673">
        <w:rPr>
          <w:rFonts w:ascii="Times New Roman" w:eastAsia="Times New Roman" w:hAnsi="Times New Roman" w:cs="Times New Roman"/>
          <w:sz w:val="28"/>
        </w:rPr>
        <w:t xml:space="preserve">Промежуточная аттестация: </w:t>
      </w:r>
      <w:r w:rsidR="004A2CD1">
        <w:rPr>
          <w:rFonts w:ascii="Times New Roman" w:eastAsia="Times New Roman" w:hAnsi="Times New Roman" w:cs="Times New Roman"/>
          <w:sz w:val="28"/>
        </w:rPr>
        <w:t>У</w:t>
      </w:r>
      <w:r w:rsidRPr="00441673">
        <w:rPr>
          <w:rFonts w:ascii="Times New Roman" w:eastAsia="Times New Roman" w:hAnsi="Times New Roman" w:cs="Times New Roman"/>
          <w:sz w:val="28"/>
        </w:rPr>
        <w:t>П 0</w:t>
      </w:r>
      <w:r w:rsidR="00AC1300">
        <w:rPr>
          <w:rFonts w:ascii="Times New Roman" w:eastAsia="Times New Roman" w:hAnsi="Times New Roman" w:cs="Times New Roman"/>
          <w:sz w:val="28"/>
        </w:rPr>
        <w:t>5</w:t>
      </w:r>
      <w:r w:rsidRPr="00441673">
        <w:rPr>
          <w:rFonts w:ascii="Times New Roman" w:eastAsia="Times New Roman" w:hAnsi="Times New Roman" w:cs="Times New Roman"/>
          <w:sz w:val="28"/>
        </w:rPr>
        <w:t xml:space="preserve"> - дифференцированный зачет в </w:t>
      </w:r>
      <w:r w:rsidR="004A2CD1">
        <w:rPr>
          <w:rFonts w:ascii="Times New Roman" w:eastAsia="Times New Roman" w:hAnsi="Times New Roman" w:cs="Times New Roman"/>
          <w:sz w:val="28"/>
        </w:rPr>
        <w:t>4</w:t>
      </w:r>
      <w:r w:rsidRPr="00441673">
        <w:rPr>
          <w:rFonts w:ascii="Times New Roman" w:eastAsia="Times New Roman" w:hAnsi="Times New Roman" w:cs="Times New Roman"/>
          <w:sz w:val="28"/>
        </w:rPr>
        <w:t xml:space="preserve"> семестре</w:t>
      </w:r>
    </w:p>
    <w:sectPr w:rsidR="00A71F29" w:rsidSect="00827677">
      <w:headerReference w:type="first" r:id="rId7"/>
      <w:pgSz w:w="11906" w:h="16838"/>
      <w:pgMar w:top="1440" w:right="1440" w:bottom="1440" w:left="1440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27C4" w14:textId="77777777" w:rsidR="00FA1D1B" w:rsidRDefault="00FA1D1B" w:rsidP="007B1F16">
      <w:pPr>
        <w:spacing w:after="0" w:line="240" w:lineRule="auto"/>
      </w:pPr>
      <w:r>
        <w:separator/>
      </w:r>
    </w:p>
  </w:endnote>
  <w:endnote w:type="continuationSeparator" w:id="0">
    <w:p w14:paraId="2EEE05B8" w14:textId="77777777" w:rsidR="00FA1D1B" w:rsidRDefault="00FA1D1B" w:rsidP="007B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5EEC" w14:textId="77777777" w:rsidR="00FA1D1B" w:rsidRDefault="00FA1D1B" w:rsidP="007B1F16">
      <w:pPr>
        <w:spacing w:after="0" w:line="240" w:lineRule="auto"/>
      </w:pPr>
      <w:r>
        <w:separator/>
      </w:r>
    </w:p>
  </w:footnote>
  <w:footnote w:type="continuationSeparator" w:id="0">
    <w:p w14:paraId="2D4D779A" w14:textId="77777777" w:rsidR="00FA1D1B" w:rsidRDefault="00FA1D1B" w:rsidP="007B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81A9" w14:textId="77777777" w:rsidR="00827677" w:rsidRDefault="00827677" w:rsidP="00827677">
    <w:pPr>
      <w:suppressAutoHyphens w:val="0"/>
      <w:spacing w:after="0" w:line="276" w:lineRule="auto"/>
      <w:jc w:val="center"/>
      <w:rPr>
        <w:rFonts w:ascii="Times New Roman" w:eastAsia="Times New Roman" w:hAnsi="Times New Roman" w:cs="Times New Roman"/>
        <w:b/>
        <w:bCs/>
        <w:color w:val="auto"/>
        <w:sz w:val="24"/>
        <w:szCs w:val="24"/>
        <w:lang w:eastAsia="zh-CN"/>
      </w:rPr>
    </w:pPr>
  </w:p>
  <w:p w14:paraId="75FE7175" w14:textId="4744B94C" w:rsidR="00827677" w:rsidRPr="00243B29" w:rsidRDefault="00827677" w:rsidP="00827677">
    <w:pPr>
      <w:suppressAutoHyphens w:val="0"/>
      <w:spacing w:after="0" w:line="276" w:lineRule="auto"/>
      <w:jc w:val="center"/>
      <w:rPr>
        <w:rFonts w:eastAsia="Times New Roman" w:cs="Times New Roman"/>
        <w:b/>
        <w:bCs/>
        <w:color w:val="auto"/>
        <w:sz w:val="24"/>
        <w:szCs w:val="24"/>
        <w:lang w:eastAsia="zh-CN"/>
      </w:rPr>
    </w:pPr>
    <w:r w:rsidRPr="00243B29">
      <w:rPr>
        <w:rFonts w:ascii="Times New Roman" w:eastAsia="Times New Roman" w:hAnsi="Times New Roman" w:cs="Times New Roman"/>
        <w:b/>
        <w:bCs/>
        <w:color w:val="auto"/>
        <w:sz w:val="24"/>
        <w:szCs w:val="24"/>
        <w:lang w:eastAsia="zh-CN"/>
      </w:rPr>
      <w:t>Министерство образования Московской области</w:t>
    </w:r>
  </w:p>
  <w:p w14:paraId="3D537F3A" w14:textId="77777777" w:rsidR="00827677" w:rsidRPr="00243B29" w:rsidRDefault="00827677" w:rsidP="00827677">
    <w:pPr>
      <w:suppressAutoHyphens w:val="0"/>
      <w:spacing w:after="0" w:line="276" w:lineRule="auto"/>
      <w:jc w:val="center"/>
      <w:rPr>
        <w:rFonts w:eastAsia="Times New Roman" w:cs="Times New Roman"/>
        <w:b/>
        <w:bCs/>
        <w:color w:val="auto"/>
        <w:sz w:val="24"/>
        <w:szCs w:val="24"/>
        <w:lang w:eastAsia="zh-CN"/>
      </w:rPr>
    </w:pPr>
    <w:r w:rsidRPr="00243B29">
      <w:rPr>
        <w:rFonts w:ascii="Times New Roman" w:eastAsia="Times New Roman" w:hAnsi="Times New Roman" w:cs="Times New Roman"/>
        <w:b/>
        <w:bCs/>
        <w:color w:val="auto"/>
        <w:sz w:val="24"/>
        <w:szCs w:val="24"/>
        <w:lang w:eastAsia="zh-CN"/>
      </w:rPr>
      <w:t>ГБПОУ МО «Воскресенский колледж»</w:t>
    </w:r>
  </w:p>
  <w:p w14:paraId="1F06D060" w14:textId="77777777" w:rsidR="00827677" w:rsidRDefault="008276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893"/>
    <w:multiLevelType w:val="multilevel"/>
    <w:tmpl w:val="CDB06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C47217"/>
    <w:multiLevelType w:val="hybridMultilevel"/>
    <w:tmpl w:val="0BC27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32CB1"/>
    <w:multiLevelType w:val="multilevel"/>
    <w:tmpl w:val="78D27D8C"/>
    <w:lvl w:ilvl="0">
      <w:start w:val="1"/>
      <w:numFmt w:val="decimal"/>
      <w:lvlText w:val="%1"/>
      <w:lvlJc w:val="left"/>
      <w:pPr>
        <w:tabs>
          <w:tab w:val="num" w:pos="0"/>
        </w:tabs>
        <w:ind w:left="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 w16cid:durableId="1303461413">
    <w:abstractNumId w:val="2"/>
  </w:num>
  <w:num w:numId="2" w16cid:durableId="1910797604">
    <w:abstractNumId w:val="0"/>
  </w:num>
  <w:num w:numId="3" w16cid:durableId="53504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29"/>
    <w:rsid w:val="00080615"/>
    <w:rsid w:val="00243B29"/>
    <w:rsid w:val="00441673"/>
    <w:rsid w:val="00447F14"/>
    <w:rsid w:val="004A2CD1"/>
    <w:rsid w:val="00661939"/>
    <w:rsid w:val="00750EA3"/>
    <w:rsid w:val="007B1F16"/>
    <w:rsid w:val="00827677"/>
    <w:rsid w:val="0084422D"/>
    <w:rsid w:val="00A71F29"/>
    <w:rsid w:val="00AB7FB1"/>
    <w:rsid w:val="00AC1300"/>
    <w:rsid w:val="00E52CB0"/>
    <w:rsid w:val="00FA1D1B"/>
    <w:rsid w:val="00FB5E75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C948"/>
  <w15:docId w15:val="{5967F372-6C22-4E0C-8D6A-D3AA5580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7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35" w:line="259" w:lineRule="auto"/>
      <w:ind w:right="7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3" w:line="259" w:lineRule="auto"/>
      <w:ind w:right="7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266D4"/>
    <w:pPr>
      <w:ind w:left="720"/>
      <w:contextualSpacing/>
    </w:pPr>
  </w:style>
  <w:style w:type="paragraph" w:customStyle="1" w:styleId="Default">
    <w:name w:val="Default"/>
    <w:qFormat/>
    <w:rsid w:val="00B266D4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uiPriority w:val="39"/>
    <w:rsid w:val="00A95A7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B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F16"/>
    <w:rPr>
      <w:rFonts w:ascii="Calibri" w:eastAsia="Calibri" w:hAnsi="Calibri" w:cs="Calibri"/>
      <w:color w:val="000000"/>
    </w:rPr>
  </w:style>
  <w:style w:type="paragraph" w:styleId="ad">
    <w:name w:val="footer"/>
    <w:basedOn w:val="a"/>
    <w:link w:val="ae"/>
    <w:uiPriority w:val="99"/>
    <w:unhideWhenUsed/>
    <w:rsid w:val="007B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1F1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dc:description/>
  <cp:lastModifiedBy>Catlin Ashy</cp:lastModifiedBy>
  <cp:revision>5</cp:revision>
  <dcterms:created xsi:type="dcterms:W3CDTF">2023-09-26T09:34:00Z</dcterms:created>
  <dcterms:modified xsi:type="dcterms:W3CDTF">2023-09-26T09:50:00Z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