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3"/>
        <w:jc w:val="right"/>
        <w:rPr/>
      </w:pPr>
      <w:r>
        <w:rPr>
          <w:rFonts w:eastAsia="Calibri"/>
          <w:b/>
          <w:bCs/>
          <w:szCs w:val="24"/>
        </w:rPr>
        <w:t>Приложение 1.30</w:t>
      </w:r>
    </w:p>
    <w:p>
      <w:pPr>
        <w:pStyle w:val="Normal"/>
        <w:spacing w:lineRule="auto" w:line="259" w:before="0" w:after="0"/>
        <w:ind w:left="10" w:right="-11" w:hanging="10"/>
        <w:jc w:val="right"/>
        <w:rPr/>
      </w:pPr>
      <w:r>
        <w:rPr/>
      </w:r>
    </w:p>
    <w:p>
      <w:pPr>
        <w:pStyle w:val="Normal"/>
        <w:spacing w:lineRule="auto" w:line="259" w:before="0" w:after="0"/>
        <w:ind w:left="10" w:right="-11" w:hanging="10"/>
        <w:jc w:val="right"/>
        <w:rPr/>
      </w:pPr>
      <w:r>
        <w:rPr/>
        <w:t>к ОПОП по</w:t>
      </w:r>
      <w:r>
        <w:rPr>
          <w:b/>
        </w:rPr>
        <w:t xml:space="preserve"> </w:t>
      </w:r>
      <w:r>
        <w:rPr/>
        <w:t>специальности</w:t>
      </w:r>
    </w:p>
    <w:p>
      <w:pPr>
        <w:pStyle w:val="Normal"/>
        <w:spacing w:before="0" w:after="7"/>
        <w:ind w:left="5954" w:right="0" w:hanging="1701"/>
        <w:jc w:val="center"/>
        <w:rPr/>
      </w:pPr>
      <w:r>
        <w:rPr/>
        <w:t>18.02.03 «</w:t>
      </w:r>
      <w:bookmarkStart w:id="0" w:name="_Hlk103200217"/>
      <w:r>
        <w:rPr/>
        <w:t>Химическая технология неорганических веществ</w:t>
      </w:r>
      <w:bookmarkEnd w:id="0"/>
      <w:r>
        <w:rPr/>
        <w:t>»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20"/>
        <w:ind w:left="64" w:right="0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0"/>
        <w:jc w:val="center"/>
        <w:rPr/>
      </w:pPr>
      <w:r>
        <w:rPr/>
        <w:t xml:space="preserve">Министерство образования Московской области </w:t>
      </w:r>
    </w:p>
    <w:p>
      <w:pPr>
        <w:pStyle w:val="Normal"/>
        <w:spacing w:lineRule="auto" w:line="259" w:before="0" w:after="0"/>
        <w:ind w:left="10" w:right="1" w:hanging="10"/>
        <w:jc w:val="center"/>
        <w:rPr/>
      </w:pPr>
      <w:r>
        <w:rPr/>
        <w:t xml:space="preserve">ГБПОУ МО «Воскресенский колледж»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16"/>
        <w:ind w:left="64" w:right="0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ind w:left="7088" w:right="0" w:hanging="0"/>
        <w:rPr/>
      </w:pPr>
      <w:r>
        <w:rPr/>
        <w:t xml:space="preserve">Утверждена приказом руководителя образовательной организации </w:t>
      </w:r>
    </w:p>
    <w:p>
      <w:pPr>
        <w:pStyle w:val="Normal"/>
        <w:spacing w:lineRule="auto" w:line="259" w:before="0" w:after="0"/>
        <w:ind w:left="10" w:right="847" w:firstLine="7078"/>
        <w:rPr/>
      </w:pPr>
      <w:r>
        <w:rPr/>
        <w:t xml:space="preserve">№ </w:t>
      </w:r>
      <w:r>
        <w:rPr>
          <w:u w:val="single"/>
        </w:rPr>
        <w:t>160</w:t>
      </w:r>
      <w:r>
        <w:rPr/>
        <w:t xml:space="preserve">- от </w:t>
      </w:r>
      <w:r>
        <w:rPr>
          <w:u w:val="single"/>
        </w:rPr>
        <w:t>28.08.23</w:t>
      </w:r>
    </w:p>
    <w:p>
      <w:pPr>
        <w:pStyle w:val="Normal"/>
        <w:spacing w:lineRule="auto" w:line="259" w:before="0" w:after="12"/>
        <w:ind w:left="64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73" w:right="0" w:hanging="0"/>
        <w:jc w:val="center"/>
        <w:rPr/>
      </w:pPr>
      <w:r>
        <w:rPr>
          <w:b/>
          <w:sz w:val="28"/>
        </w:rPr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4"/>
        <w:ind w:left="64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13" w:right="9" w:hanging="10"/>
        <w:jc w:val="center"/>
        <w:rPr/>
      </w:pPr>
      <w:r>
        <w:rPr>
          <w:b/>
        </w:rPr>
        <w:t>РАБОЧАЯ ПРОГРАММА УЧЕБНОЙ ДИСЦИПЛИНЫ</w:t>
      </w:r>
    </w:p>
    <w:p>
      <w:pPr>
        <w:pStyle w:val="2"/>
        <w:ind w:left="13" w:right="4" w:hanging="10"/>
        <w:rPr/>
      </w:pPr>
      <w:r>
        <w:rPr/>
        <w:t xml:space="preserve">«ОП.06 ФИЗИЧЕСКАЯ И КОЛЛОИДНАЯ ХИМИЯ» </w:t>
      </w:r>
    </w:p>
    <w:p>
      <w:pPr>
        <w:pStyle w:val="Normal"/>
        <w:spacing w:lineRule="auto" w:line="259" w:before="0" w:after="0"/>
        <w:ind w:left="73" w:right="0" w:hanging="0"/>
        <w:jc w:val="center"/>
        <w:rPr/>
      </w:pPr>
      <w:r>
        <w:rPr>
          <w:b/>
          <w:sz w:val="28"/>
        </w:rPr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09"/>
        <w:ind w:left="64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364"/>
        <w:ind w:left="64" w:right="0" w:hanging="0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г. Воскресенск, 2023 г. </w:t>
      </w:r>
    </w:p>
    <w:p>
      <w:pPr>
        <w:pStyle w:val="Normal"/>
        <w:spacing w:lineRule="auto" w:line="259" w:before="0" w:after="16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</w:r>
    </w:p>
    <w:p>
      <w:pPr>
        <w:pStyle w:val="Normal"/>
        <w:spacing w:lineRule="auto" w:line="259" w:before="0" w:after="6"/>
        <w:ind w:left="10" w:right="0" w:hanging="10"/>
        <w:jc w:val="left"/>
        <w:rPr/>
      </w:pPr>
      <w:r>
        <w:rPr/>
      </w:r>
    </w:p>
    <w:p>
      <w:pPr>
        <w:pStyle w:val="Normal"/>
        <w:spacing w:lineRule="auto" w:line="259" w:before="0" w:after="0"/>
        <w:ind w:left="10" w:right="0" w:hanging="10"/>
        <w:jc w:val="left"/>
        <w:rPr/>
      </w:pPr>
      <w:r>
        <w:rPr/>
      </w:r>
    </w:p>
    <w:p>
      <w:pPr>
        <w:pStyle w:val="Normal"/>
        <w:spacing w:lineRule="auto" w:line="259" w:before="0" w:after="132"/>
        <w:ind w:left="10" w:right="0" w:hanging="10"/>
        <w:jc w:val="left"/>
        <w:rPr/>
      </w:pPr>
      <w:r>
        <w:rPr/>
        <w:t>Программа учебной дисциплины</w:t>
      </w:r>
      <w:r>
        <w:rPr>
          <w:b/>
        </w:rPr>
        <w:t xml:space="preserve"> </w:t>
      </w:r>
      <w:r>
        <w:rPr>
          <w:rFonts w:eastAsia="Arial" w:cs="Arial" w:ascii="Arial" w:hAnsi="Arial"/>
        </w:rPr>
        <w:t>«</w:t>
      </w:r>
      <w:r>
        <w:rPr/>
        <w:t>ОП.06 Физическая и коллоидная химия»</w:t>
      </w:r>
      <w:r>
        <w:rPr>
          <w:rFonts w:eastAsia="Arial" w:cs="Arial" w:ascii="Arial" w:hAnsi="Arial"/>
        </w:rPr>
        <w:t xml:space="preserve"> </w:t>
      </w:r>
      <w:r>
        <w:rPr/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 от 22.04.2014 года № 385</w:t>
      </w:r>
      <w:r>
        <w:rPr>
          <w:sz w:val="28"/>
        </w:rPr>
        <w:t xml:space="preserve"> </w:t>
      </w:r>
      <w:r>
        <w:rPr/>
        <w:t>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32745).</w:t>
      </w:r>
      <w:r>
        <w:rPr>
          <w:sz w:val="28"/>
        </w:rPr>
        <w:t xml:space="preserve"> </w:t>
      </w:r>
    </w:p>
    <w:p>
      <w:pPr>
        <w:pStyle w:val="Normal"/>
        <w:spacing w:lineRule="auto" w:line="259" w:before="0" w:after="146"/>
        <w:ind w:left="4" w:right="0" w:hanging="0"/>
        <w:jc w:val="left"/>
        <w:rPr/>
      </w:pPr>
      <w:r>
        <w:rPr>
          <w:sz w:val="28"/>
        </w:rPr>
        <w:t xml:space="preserve"> </w:t>
      </w:r>
    </w:p>
    <w:p>
      <w:pPr>
        <w:pStyle w:val="Normal"/>
        <w:spacing w:before="0" w:after="106"/>
        <w:ind w:left="-1" w:right="0" w:hanging="10"/>
        <w:rPr/>
      </w:pPr>
      <w:r>
        <w:rPr/>
        <w:t>Организация-разработчик: ГБПОУ МО «Воскресенский колледж»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before="0" w:after="107"/>
        <w:ind w:left="-1" w:right="0" w:hanging="10"/>
        <w:rPr/>
      </w:pPr>
      <w:r>
        <w:rPr/>
        <w:t>Разработчик: преподаватель ГБПОУ МО «Воскресенский колледж» Дьяконов И.В.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71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71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714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6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spacing w:lineRule="auto" w:line="259" w:before="0" w:after="0"/>
        <w:ind w:left="714" w:right="0" w:hanging="0"/>
        <w:jc w:val="left"/>
        <w:rPr/>
      </w:pPr>
      <w:r>
        <w:rPr/>
      </w:r>
    </w:p>
    <w:p>
      <w:pPr>
        <w:pStyle w:val="2"/>
        <w:spacing w:before="0" w:after="225"/>
        <w:ind w:left="13" w:right="4" w:hanging="10"/>
        <w:rPr>
          <w:rFonts w:ascii="Calibri" w:hAnsi="Calibri" w:eastAsia="Calibri" w:cs="Calibri"/>
          <w:b w:val="false"/>
          <w:b w:val="false"/>
          <w:sz w:val="22"/>
        </w:rPr>
      </w:pPr>
      <w:r>
        <w:rPr/>
        <w:t>СОДЕРЖАНИЕ</w:t>
      </w:r>
    </w:p>
    <w:p>
      <w:pPr>
        <w:pStyle w:val="Normal"/>
        <w:tabs>
          <w:tab w:val="clear" w:pos="708"/>
          <w:tab w:val="left" w:pos="9923" w:leader="none"/>
        </w:tabs>
        <w:rPr>
          <w:b/>
          <w:b/>
          <w:bCs/>
        </w:rPr>
      </w:pPr>
      <w:r>
        <w:rPr/>
        <w:tab/>
        <w:tab/>
      </w:r>
      <w:r>
        <w:rPr>
          <w:b/>
          <w:bCs/>
        </w:rPr>
        <w:t>Стр.</w:t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2"/>
            <w:tabs>
              <w:tab w:val="clear" w:pos="708"/>
              <w:tab w:val="right" w:pos="10213" w:leader="dot"/>
            </w:tabs>
            <w:ind w:left="0" w:right="112" w:hanging="0"/>
            <w:rPr/>
          </w:pPr>
          <w:r>
            <w:fldChar w:fldCharType="begin"/>
          </w:r>
          <w:r>
            <w:rPr>
              <w:webHidden/>
              <w:rStyle w:val="Style14"/>
              <w:vanish w:val="false"/>
            </w:rPr>
            <w:instrText xml:space="preserve"> TOC \z \o "1-1" \u </w:instrText>
          </w:r>
          <w:r>
            <w:rPr>
              <w:webHidden/>
              <w:rStyle w:val="Style14"/>
              <w:vanish w:val="false"/>
            </w:rPr>
            <w:fldChar w:fldCharType="separate"/>
          </w:r>
          <w:hyperlink w:anchor="_Toc2298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_Toc22981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4"/>
                <w:vanish w:val="false"/>
              </w:rPr>
              <w:t>ОБЩАЯ ХАРАКТЕРИСТИКА ПРИМЕРНОЙ РАБОЧЕЙ ПРОГРАММЫ УЧЕБНОЙ ДИСЦИПЛИНЫ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10213" w:leader="dot"/>
            </w:tabs>
            <w:ind w:left="0" w:right="112" w:hanging="0"/>
            <w:rPr/>
          </w:pPr>
          <w:hyperlink w:anchor="_Toc2298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_Toc22982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4"/>
                <w:vanish w:val="false"/>
              </w:rPr>
              <w:t>СТРУКТУРА И СОДЕРЖАНИЕ УЧЕБНОЙ ДИСЦИПЛИНЫ</w:t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10213" w:leader="dot"/>
            </w:tabs>
            <w:spacing w:lineRule="auto" w:line="240"/>
            <w:ind w:left="0" w:right="113" w:hanging="0"/>
            <w:rPr/>
          </w:pPr>
          <w:hyperlink w:anchor="_Toc2298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_Toc22983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4"/>
                <w:vanish w:val="false"/>
              </w:rPr>
              <w:t>УСЛОВИЯ РЕАЛИЗАЦИИ УЧЕБНОЙ ДИСЦИПЛИНЫ……………………………..……….….10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10213" w:leader="dot"/>
            </w:tabs>
            <w:ind w:left="0" w:right="112" w:hanging="0"/>
            <w:rPr/>
          </w:pPr>
          <w:hyperlink w:anchor="_Toc2298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_Toc22984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Style14"/>
                <w:vanish w:val="false"/>
              </w:rPr>
              <w:t>КОНТРОЛЬ И ОЦЕНКА РЕЗУЛЬТАТОВ ОСВОЕНИЯ УЧЕБНОЙ ДИСЦИПЛИНЫ……….12</w:t>
            </w:r>
            <w:r>
              <w:rPr>
                <w:webHidden/>
              </w:rPr>
              <w:fldChar w:fldCharType="end"/>
            </w:r>
          </w:hyperlink>
          <w:r>
            <w:rPr>
              <w:rStyle w:val="Style14"/>
              <w:vanish w:val="false"/>
            </w:rPr>
            <w:fldChar w:fldCharType="end"/>
          </w:r>
        </w:p>
      </w:sdtContent>
    </w:sdt>
    <w:p>
      <w:pPr>
        <w:pStyle w:val="Normal"/>
        <w:spacing w:lineRule="auto" w:line="259" w:before="0" w:after="112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3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2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7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2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3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2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7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2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3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2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7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2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2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3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7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2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2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13"/>
        <w:ind w:left="6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6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spacing w:lineRule="auto" w:line="259" w:before="0" w:after="0"/>
        <w:ind w:left="64" w:right="0" w:hanging="0"/>
        <w:jc w:val="center"/>
        <w:rPr/>
      </w:pPr>
      <w:r>
        <w:rPr/>
      </w:r>
    </w:p>
    <w:p>
      <w:pPr>
        <w:pStyle w:val="1"/>
        <w:spacing w:lineRule="auto" w:line="403" w:before="0" w:after="0"/>
        <w:ind w:left="13" w:right="3" w:hanging="10"/>
        <w:jc w:val="center"/>
        <w:rPr/>
      </w:pPr>
      <w:bookmarkStart w:id="1" w:name="_Toc22981"/>
      <w:r>
        <w:rPr/>
        <w:t xml:space="preserve">1. ОБЩАЯ ХАРАКТЕРИСТИКА ПРИМЕРНОЙ РАБОЧЕЙ ПРОГРАММЫ УЧЕБНОЙ </w:t>
      </w:r>
      <w:bookmarkEnd w:id="1"/>
      <w:r>
        <w:rPr/>
        <w:t>ДИСЦИПЛИНЫ «Физическая и коллоидная химия»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77"/>
        <w:ind w:left="714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66"/>
        <w:ind w:left="724" w:right="0" w:hanging="10"/>
        <w:jc w:val="left"/>
        <w:rPr/>
      </w:pPr>
      <w:r>
        <w:rPr>
          <w:b/>
        </w:rPr>
        <w:t>1.1. Место дисциплины в структуре основной образовательной программы:</w:t>
      </w:r>
    </w:p>
    <w:p>
      <w:pPr>
        <w:pStyle w:val="Normal"/>
        <w:ind w:left="-11" w:right="0" w:firstLine="710"/>
        <w:rPr/>
      </w:pPr>
      <w:r>
        <w:rPr/>
        <w:t>Учебная дисциплина «ОП.06 Физическая и коллоидная химия» является обязательной частью ОП профессионального цикла примерной основной образовательной программы в соответствии с ФГОС по специальности 18.02.03 «Химическая технология неорганических веществ»</w:t>
      </w:r>
    </w:p>
    <w:p>
      <w:pPr>
        <w:pStyle w:val="Normal"/>
        <w:ind w:left="724" w:right="0" w:hanging="10"/>
        <w:rPr/>
      </w:pPr>
      <w:r>
        <w:rPr/>
        <w:t>Особое значение дисциплина имеет при формировании и развитии ОК 01-09, ПК 1.1-4.5</w:t>
      </w:r>
    </w:p>
    <w:p>
      <w:pPr>
        <w:pStyle w:val="Normal"/>
        <w:spacing w:lineRule="auto" w:line="259" w:before="0" w:after="20"/>
        <w:ind w:left="714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23"/>
        <w:ind w:left="724" w:right="0" w:hanging="10"/>
        <w:jc w:val="left"/>
        <w:rPr/>
      </w:pPr>
      <w:r>
        <w:rPr>
          <w:b/>
        </w:rPr>
        <w:t>1.2. Цель и планируемые результаты освоения дисциплины: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11" w:right="0" w:firstLine="710"/>
        <w:rPr/>
      </w:pPr>
      <w:r>
        <w:rPr/>
        <w:t>В рамках программы учебной дисциплины обучающимися осваиваются следующие умения и знания</w:t>
      </w:r>
      <w:r>
        <w:rPr>
          <w:rFonts w:eastAsia="Calibri" w:cs="Calibri" w:ascii="Calibri" w:hAnsi="Calibri"/>
          <w:sz w:val="22"/>
        </w:rPr>
        <w:t xml:space="preserve"> </w:t>
      </w:r>
    </w:p>
    <w:tbl>
      <w:tblPr>
        <w:tblStyle w:val="TableGrid"/>
        <w:tblW w:w="9301" w:type="dxa"/>
        <w:jc w:val="left"/>
        <w:tblInd w:w="846" w:type="dxa"/>
        <w:tblLayout w:type="fixed"/>
        <w:tblCellMar>
          <w:top w:w="27" w:type="dxa"/>
          <w:left w:w="110" w:type="dxa"/>
          <w:bottom w:w="0" w:type="dxa"/>
          <w:right w:w="210" w:type="dxa"/>
        </w:tblCellMar>
        <w:tblLook w:firstRow="1" w:noVBand="1" w:lastRow="0" w:firstColumn="1" w:lastColumn="0" w:noHBand="0" w:val="04a0"/>
      </w:tblPr>
      <w:tblGrid>
        <w:gridCol w:w="1834"/>
        <w:gridCol w:w="3525"/>
        <w:gridCol w:w="3942"/>
      </w:tblGrid>
      <w:tr>
        <w:trPr>
          <w:trHeight w:val="658" w:hRule="atLeast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06" w:right="10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Код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ПК, ОК, ЛР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99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Умения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99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Знания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8826" w:hRule="atLeast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ОК 01-11,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ПК 1.1-1.4.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ПК 2.1-2.2.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40"/>
              <w:ind w:left="0" w:right="0" w:firstLine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ПК 3.1-3.5,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40"/>
              <w:ind w:left="0" w:right="0" w:firstLine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ПК 4.1-4.5,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40"/>
              <w:ind w:left="0" w:right="0" w:firstLine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ЛР1 ЛР16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21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ЛР17 ЛР18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ЛР19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 результате </w:t>
              <w:tab/>
              <w:t xml:space="preserve">освоения учебной дисциплины обучающийся должен уметь: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" w:right="5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1 Выполнять расчеты электродных потенциалов, электродвижущей силы гальванических элементов;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" w:right="5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2 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" w:right="5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3 Определять концентрацию реагирующих веществ и скорость реакций;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" w:right="5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4 Строить фазовые диаграммы;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" w:right="5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5 Производить расчеты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" w:right="5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6 Рассчитывать тепловые эффекты и скорость химических реакций;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" w:right="5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7 Определять параметры каталитических реакций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1 Закономерности протекания химических и физико-химических процессов;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законы идеальных газов;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механизм действия катализаторов;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2 Механизмы гомогенных и гетерогенных реакций;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3 Основные методы интенсификации физико-химических процессов;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свойства агрегатных состояний веществ;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4 Сущность и механизм катализа;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5 Схемы реакций замещения и присоединения;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6 Условия химического равновесия;</w:t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23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физико-химические методы анализа веществ, применяемые приборы;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7 Физико-химические свойства сырьевых материалов и продуктов</w:t>
            </w:r>
          </w:p>
        </w:tc>
      </w:tr>
    </w:tbl>
    <w:p>
      <w:pPr>
        <w:pStyle w:val="Normal"/>
        <w:spacing w:lineRule="auto" w:line="259" w:before="0" w:after="0"/>
        <w:ind w:left="4" w:right="0" w:hanging="0"/>
        <w:jc w:val="left"/>
        <w:rPr/>
      </w:pPr>
      <w:r>
        <w:rPr/>
        <w:t xml:space="preserve"> </w:t>
      </w:r>
    </w:p>
    <w:p>
      <w:pPr>
        <w:pStyle w:val="1"/>
        <w:spacing w:before="0" w:after="217"/>
        <w:ind w:left="10" w:right="1592" w:hanging="10"/>
        <w:jc w:val="right"/>
        <w:rPr/>
      </w:pPr>
      <w:bookmarkStart w:id="2" w:name="_Toc22982"/>
      <w:r>
        <w:rPr/>
        <w:t>2. СТРУКТУРА И СОДЕРЖАНИЕ УЧЕБНОЙ ДИСЦИПЛИНЫ</w:t>
      </w:r>
      <w:r>
        <w:rPr>
          <w:rFonts w:eastAsia="Calibri" w:cs="Calibri" w:ascii="Calibri" w:hAnsi="Calibri"/>
          <w:b w:val="false"/>
          <w:sz w:val="22"/>
        </w:rPr>
        <w:t xml:space="preserve"> </w:t>
      </w:r>
      <w:bookmarkEnd w:id="2"/>
    </w:p>
    <w:p>
      <w:pPr>
        <w:pStyle w:val="Normal"/>
        <w:spacing w:lineRule="auto" w:line="259" w:before="0" w:after="0"/>
        <w:ind w:left="724" w:right="0" w:hanging="10"/>
        <w:jc w:val="left"/>
        <w:rPr>
          <w:szCs w:val="24"/>
        </w:rPr>
      </w:pPr>
      <w:r>
        <w:rPr>
          <w:szCs w:val="24"/>
        </w:rPr>
        <w:t>2.1. Объем учебной дисциплины и виды учебной работы</w:t>
      </w:r>
      <w:r>
        <w:rPr>
          <w:rFonts w:eastAsia="Calibri" w:cs="Calibri" w:ascii="Calibri" w:hAnsi="Calibri"/>
          <w:szCs w:val="24"/>
        </w:rPr>
        <w:t xml:space="preserve"> </w:t>
      </w:r>
    </w:p>
    <w:tbl>
      <w:tblPr>
        <w:tblStyle w:val="TableGrid"/>
        <w:tblW w:w="10425" w:type="dxa"/>
        <w:jc w:val="left"/>
        <w:tblInd w:w="-141" w:type="dxa"/>
        <w:tblLayout w:type="fixed"/>
        <w:tblCellMar>
          <w:top w:w="12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8075"/>
        <w:gridCol w:w="2349"/>
      </w:tblGrid>
      <w:tr>
        <w:trPr>
          <w:trHeight w:val="505" w:hRule="atLeast"/>
        </w:trPr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szCs w:val="24"/>
              </w:rPr>
            </w:pPr>
            <w:r>
              <w:rPr>
                <w:b/>
                <w:kern w:val="0"/>
                <w:szCs w:val="24"/>
                <w:lang w:val="ru-RU" w:eastAsia="ru-RU" w:bidi="ar-SA"/>
              </w:rPr>
              <w:t>Вид учебной работы</w:t>
            </w:r>
            <w:r>
              <w:rPr>
                <w:rFonts w:eastAsia="Calibri" w:cs="Calibri" w:ascii="Calibri" w:hAnsi="Calibri"/>
                <w:kern w:val="0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b/>
                <w:kern w:val="0"/>
                <w:szCs w:val="24"/>
                <w:lang w:val="ru-RU" w:eastAsia="ru-RU" w:bidi="ar-SA"/>
              </w:rPr>
              <w:t>Объем в часах</w:t>
            </w:r>
            <w:r>
              <w:rPr>
                <w:rFonts w:eastAsia="Calibri" w:cs="Calibri" w:ascii="Calibri" w:hAnsi="Calibri"/>
                <w:kern w:val="0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504" w:hRule="atLeast"/>
        </w:trPr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szCs w:val="24"/>
              </w:rPr>
            </w:pPr>
            <w:r>
              <w:rPr>
                <w:b/>
                <w:kern w:val="0"/>
                <w:szCs w:val="24"/>
                <w:lang w:val="ru-RU" w:eastAsia="ru-RU" w:bidi="ar-SA"/>
              </w:rPr>
              <w:t>Объем образовательной программы учебной дисциплины</w:t>
            </w:r>
            <w:r>
              <w:rPr>
                <w:rFonts w:eastAsia="Calibri" w:cs="Calibri" w:ascii="Calibri" w:hAnsi="Calibri"/>
                <w:kern w:val="0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kern w:val="0"/>
                <w:szCs w:val="24"/>
                <w:lang w:val="ru-RU" w:eastAsia="ru-RU" w:bidi="ar-SA"/>
              </w:rPr>
              <w:t>96</w:t>
            </w:r>
            <w:r>
              <w:rPr>
                <w:rFonts w:eastAsia="Calibri" w:cs="Calibri" w:ascii="Calibri" w:hAnsi="Calibri"/>
                <w:b/>
                <w:bCs/>
                <w:kern w:val="0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350" w:hRule="atLeast"/>
        </w:trPr>
        <w:tc>
          <w:tcPr>
            <w:tcW w:w="10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в т. ч.:</w:t>
            </w:r>
            <w:r>
              <w:rPr>
                <w:rFonts w:eastAsia="Calibri" w:cs="Calibri" w:ascii="Calibri" w:hAnsi="Calibri"/>
                <w:kern w:val="0"/>
                <w:szCs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509" w:hRule="atLeast"/>
        </w:trPr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теоретическое обучение</w:t>
            </w:r>
            <w:r>
              <w:rPr>
                <w:rFonts w:eastAsia="Calibri" w:cs="Calibri" w:ascii="Calibri" w:hAnsi="Calibri"/>
                <w:kern w:val="0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Calibri" w:cs="Calibri" w:ascii="Calibri" w:hAnsi="Calibri"/>
                <w:kern w:val="0"/>
                <w:szCs w:val="24"/>
                <w:lang w:val="ru-RU" w:eastAsia="ru-RU" w:bidi="ar-SA"/>
              </w:rPr>
              <w:t xml:space="preserve">40 </w:t>
            </w:r>
          </w:p>
        </w:tc>
      </w:tr>
      <w:tr>
        <w:trPr>
          <w:trHeight w:val="504" w:hRule="atLeast"/>
        </w:trPr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практические занятия</w:t>
            </w:r>
            <w:r>
              <w:rPr>
                <w:rFonts w:eastAsia="Calibri" w:cs="Calibri" w:ascii="Calibri" w:hAnsi="Calibri"/>
                <w:kern w:val="0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Calibri" w:cs="Calibri" w:ascii="Calibri" w:hAnsi="Calibri"/>
                <w:kern w:val="0"/>
                <w:szCs w:val="24"/>
                <w:lang w:val="ru-RU" w:eastAsia="ru-RU" w:bidi="ar-SA"/>
              </w:rPr>
              <w:t xml:space="preserve">22 </w:t>
            </w:r>
          </w:p>
        </w:tc>
      </w:tr>
      <w:tr>
        <w:trPr>
          <w:trHeight w:val="307" w:hRule="atLeast"/>
        </w:trPr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Самостоятельная работа</w:t>
            </w:r>
            <w:r>
              <w:rPr>
                <w:rFonts w:eastAsia="Calibri" w:cs="Calibri" w:ascii="Calibri" w:hAnsi="Calibri"/>
                <w:kern w:val="0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 xml:space="preserve">32 </w:t>
            </w:r>
          </w:p>
        </w:tc>
      </w:tr>
      <w:tr>
        <w:trPr>
          <w:trHeight w:val="302" w:hRule="atLeast"/>
        </w:trPr>
        <w:tc>
          <w:tcPr>
            <w:tcW w:w="8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szCs w:val="24"/>
              </w:rPr>
            </w:pPr>
            <w:r>
              <w:rPr>
                <w:b/>
                <w:kern w:val="0"/>
                <w:szCs w:val="24"/>
                <w:lang w:val="ru-RU" w:eastAsia="ru-RU" w:bidi="ar-SA"/>
              </w:rPr>
              <w:t>Промежуточная аттестация в форме дифзачета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" w:right="0" w:hanging="0"/>
              <w:jc w:val="left"/>
              <w:rPr>
                <w:szCs w:val="24"/>
              </w:rPr>
            </w:pPr>
            <w:r>
              <w:rPr>
                <w:b/>
                <w:kern w:val="0"/>
                <w:szCs w:val="24"/>
                <w:lang w:val="ru-RU" w:eastAsia="ru-RU" w:bidi="ar-SA"/>
              </w:rPr>
              <w:t>2</w:t>
            </w:r>
          </w:p>
        </w:tc>
      </w:tr>
    </w:tbl>
    <w:p>
      <w:pPr>
        <w:pStyle w:val="Normal"/>
        <w:spacing w:lineRule="auto" w:line="259" w:before="0" w:after="118"/>
        <w:ind w:left="4" w:right="0" w:hanging="0"/>
        <w:jc w:val="left"/>
        <w:rPr/>
      </w:pPr>
      <w:r>
        <w:rPr>
          <w:i/>
        </w:rPr>
        <w:t xml:space="preserve"> </w:t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846" w:right="564" w:gutter="0" w:header="0" w:top="852" w:footer="720" w:bottom="777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pacing w:lineRule="auto" w:line="259" w:before="0" w:after="0"/>
        <w:ind w:left="4" w:right="0" w:hanging="0"/>
        <w:jc w:val="left"/>
        <w:rPr/>
      </w:pPr>
      <w:r>
        <w:rPr>
          <w:i/>
        </w:rPr>
        <w:t xml:space="preserve"> </w:t>
      </w:r>
    </w:p>
    <w:p>
      <w:pPr>
        <w:pStyle w:val="Normal"/>
        <w:suppressAutoHyphens w:val="false"/>
        <w:spacing w:lineRule="auto" w:line="360" w:before="0" w:after="0"/>
        <w:ind w:left="0" w:right="0" w:hanging="0"/>
        <w:jc w:val="center"/>
        <w:rPr>
          <w:b/>
          <w:b/>
          <w:color w:val="auto"/>
          <w:szCs w:val="24"/>
        </w:rPr>
      </w:pPr>
      <w:r>
        <w:rPr>
          <w:b/>
          <w:color w:val="auto"/>
          <w:szCs w:val="24"/>
        </w:rPr>
        <w:t>2.2. Тематический план и содержание учебной дисциплины «Физическая и коллоидная химия»</w:t>
      </w:r>
    </w:p>
    <w:tbl>
      <w:tblPr>
        <w:tblW w:w="14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62"/>
        <w:gridCol w:w="8621"/>
        <w:gridCol w:w="1244"/>
        <w:gridCol w:w="2462"/>
      </w:tblGrid>
      <w:tr>
        <w:trPr/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разделов и тем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i/>
                <w:i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Объём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часов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sz w:val="22"/>
              </w:rPr>
              <w:t xml:space="preserve">Коды компетенций и личностных результатов, формированию которых способствует элемент программы освоения </w:t>
            </w:r>
          </w:p>
        </w:tc>
      </w:tr>
      <w:tr>
        <w:trPr/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i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1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i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i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i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</w:rPr>
              <w:t>4</w:t>
            </w:r>
          </w:p>
        </w:tc>
      </w:tr>
      <w:tr>
        <w:trPr/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Раздел </w:t>
            </w:r>
            <w:r>
              <w:rPr>
                <w:b/>
                <w:color w:val="auto"/>
                <w:szCs w:val="24"/>
                <w:lang w:val="en-US"/>
              </w:rPr>
              <w:t xml:space="preserve">I </w:t>
            </w:r>
            <w:r>
              <w:rPr>
                <w:b/>
                <w:bCs/>
                <w:color w:val="auto"/>
                <w:sz w:val="20"/>
                <w:szCs w:val="20"/>
              </w:rPr>
              <w:t>ФИЗИЧЕСКАЯ ХИМИЯ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 1.1.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Предмет 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 w:val="20"/>
                <w:szCs w:val="20"/>
              </w:rPr>
              <w:t>содержание курса физической химии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ОК 01-11,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ПК 1.1.-1.4. ПК 2.1-2.4. ПК 3.1.-3.2,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ПК 4.1-4,5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ЛР1 ЛР16 ЛР17 ЛР18, ЛР19</w:t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Этапы развития физической химии.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Введение. Физическая химия как наука. Основные разделы курса. Исторические этапы развития физической химии.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>Теоретические методы физической химии: термодинамический, квантово-механический, квантово - статистический, молекулярно-кинетический.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634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 1.2.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Молекулярно-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 w:val="20"/>
                <w:szCs w:val="20"/>
              </w:rPr>
              <w:t>кинетическая теория агрегатных состояний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Молекулярно-кинетическая теория. Основные свойства агрегатных состояний вещества. Понятие о газе как о рабочем теле.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Сущность молекулярно-кинетической теории.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 Понятие о газе как о рабочем теле.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595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главам учебных пособий, методических рекомендаций, составленным преподавателем).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Cs/>
                <w:color w:val="auto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62"/>
        <w:gridCol w:w="8621"/>
        <w:gridCol w:w="1244"/>
        <w:gridCol w:w="2462"/>
      </w:tblGrid>
      <w:tr>
        <w:trPr>
          <w:trHeight w:val="253" w:hRule="atLeast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 1.3.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 w:val="20"/>
                <w:szCs w:val="20"/>
              </w:rPr>
              <w:t>Основы химической термодинамики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Основы термодинамики.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>Основные термодинамические понятия и определения; характеристика теплоемкостей веществ, способы выражения теплоемкостей и их расчеты, взаимосвязь различных видов теплоемкостей.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 01-11,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1.1.-1.4. ПК 2.1-2.4. ПК 3.1.-3.2,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ПК 4.1-4,5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ЛР1 ЛР16 ЛР17 ЛР18, ЛР19</w:t>
            </w:r>
          </w:p>
        </w:tc>
      </w:tr>
      <w:tr>
        <w:trPr>
          <w:trHeight w:val="253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Закон Гесса. Энтропия.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>Закон Гесса и следствия из него; способы определения оптимальной работы процесса; физическая сущность энтропии, применение ее для определения связанной энергии системы, приложение второго закона термодинамики к химическим процессам.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Самопроизвольные процессы.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Способы определения направления протекания самопроизвольных процессов, расчет энергии Гиббса, Гельмгольца; параметры водяного пара и справочная литература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 их нахождения.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371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 Сущность молекулярно-кинетической теории.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 Расчеты энергии Гиббса и Гельмгольца.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>Консультации по решению задач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 1.4.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Химическое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равновесие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Химическое равновесие.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Сущность и основные характеристики равновесия, способы расчета равновесных концентраций, основные параметры процессов и методы управления ими.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 xml:space="preserve">Закон действующих масс. Константа химического равновесия.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 01-11,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1.1.-1.4. ПК 2.1-2.4. ПК 3.1.-3.2,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ПК 4.1-4,5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ЛР1 ЛР16 ЛР17 ЛР18, ЛР19</w:t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Самопроизвольные процессы. Рас-чет энергии Гиббса, Гельмгольца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688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 1.5.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Химическая кинетика и катализ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 01-11,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1.1.-1.4. ПК 2.1-2.4. ПК 3.1.-3.2,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ПК 4.1-4,5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ЛР1 ЛР16 ЛР17 ЛР18, ЛР19</w:t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Уравнения химических реакций.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Основные кинетические уравнения химических реакций, факторы влияющие на скорость реакций, сущность энергии активации; теория активных соударений; особенности процесса адсорбции, ее виды; сущность, основные виды, особенности и механизмы процесса катализа; значение каталитических процессов.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Механизмы химических реакций. Порядок реакции, молекулярность. Кинетика реакций целого порядка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Константа химического равновесия. Уравнение изотермы химической реакции.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6" w:hRule="atLeast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/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 1.6.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Фазовое равновесие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Фазовое равновесие.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Основные закономерности фазовых равновесий, сущность анализа диаграмм состояния.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Однокомпонентные, двухкомпонентные системы различных типов.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Особенности фазовых равновесий в трехкомпонентных системах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>Диаграммы температура кипения-состав.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 01-11,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1.1.-1.4. ПК 2.1-2.4. ПК 3.1.-3.2,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ПК 4.1-4,5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ЛР1 ЛР16 ЛР17 ЛР18, ЛР19</w:t>
            </w:r>
          </w:p>
        </w:tc>
      </w:tr>
      <w:tr>
        <w:trPr>
          <w:trHeight w:val="261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Механизмы химических реакций. Порядок реакции, молекулярность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 1.7.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Свойства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растворов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Характеристика растворов.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Современные представления о растворах и их общую характеристику; парциальные молярные величины; законы Рауля; активность; коэффициент активности; закон распределения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 01-11,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1.1.-1.4. ПК 2.1-2.4. ПК 3.1.-3.2,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ПК 4.1-4,5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ЛР1 ЛР16 ЛР17 ЛР18, ЛР19</w:t>
            </w:r>
          </w:p>
        </w:tc>
      </w:tr>
      <w:tr>
        <w:trPr>
          <w:trHeight w:val="38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Процессы растворения, перегонки, ректификации, экстракции.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Сущность процесса растворения с точки зрения термодинамики; физическую сущность и физико- химические основы процессов перегонки, ректификации, экстракции и их количественные характеристики.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>Диаграммы температура кипения-состав.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3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преподавате-лем). Подготовка к практическим работам с использованием методических рекомендаций преподавателя, практических работ, отчетов и подготовка к их защите.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 1.8.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Электрохимия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 01-11,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1.1.-1.4. ПК 2.1-2.4. ПК 3.1.-3.2,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ПК 4.1-4,5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ЛР1 ЛР16 ЛР17 ЛР18, ЛР19</w:t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Электрическая проводимость.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Различные виды электрической проводимости; основные законы электрической проводимости.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Гальванические элементы. Электролиз. Электрофизикохимические методы анализа.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Физическая сущность возникновения ряда напряжений и его практическое значение; термодинамика гальванических элементов.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Электролиз и законы Фарадея; механизм процессов коррозии и основные способы защиты от нее; основные виды электрофизикохимических методов анализа.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Физическая сущность процессов перегонки, ректификации, экстракции.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преподавате-лем).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Раздел I</w:t>
            </w:r>
            <w:r>
              <w:rPr>
                <w:b/>
                <w:color w:val="auto"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color w:val="auto"/>
                <w:sz w:val="20"/>
                <w:szCs w:val="20"/>
              </w:rPr>
              <w:t>КОЛЛОИДНАЯ ХИМИЯ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  <w:lang w:val="en-US"/>
              </w:rPr>
            </w:pPr>
            <w:r>
              <w:rPr>
                <w:b/>
                <w:color w:val="auto"/>
                <w:szCs w:val="24"/>
              </w:rPr>
              <w:t>Тема 2.1.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Дисперсные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системы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 01-11,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1.1.-1.4. ПК 2.1-2.4. ПК 3.1.-3.2,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ПК 4.1-4,5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ЛР1 ЛР16 ЛР17 ЛР18, ЛР19</w:t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Дисперсные системы.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Роль дисперсных систем в природе и технике, причины их многообразия, классификация. Поверхностное натяжение. Методы определения поверхностного натяжения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Адсорбция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Основные понятия. Адсорбция на границе твердое тело-газ. Адсорбция на границе жидкость-газ. Адсорбция на границе твердое тело-раствор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Свойства дисперсных систем.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Основные методы получения и очистки; молекулярно-кинетические свойства; оптические и электрокинетические свойства дисперсных систем.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Коллоидные системы.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Механизм образования двойного электрического слоя. Строение коллоидной частицы; способы стабилизации и разрушение коллоидных и микрогетерогенных систем.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Электролиз и законы Фарадея; виды электро-физикохимических методов анализа.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преподавате-лем).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 2.2.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Грубодисперсные системы.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Грубодисперсные системы. Эмульсии, суспензии, пены. Методы разрушения грубодисперсных систем.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Виды грубодисперсных систем, их значение.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 01-11,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1.1.-1.4. ПК 2.1-2.4. ПК 3.1.-3.2,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ПК 4.1-4,5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1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ЛР1 ЛР16 ЛР17 ЛР18, ЛР19</w:t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Коллоидные системы.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 w:val="20"/>
                <w:szCs w:val="20"/>
              </w:rPr>
              <w:t>Механизм образования двойного электрического слоя.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преподавате-лем).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47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62"/>
        <w:gridCol w:w="8621"/>
        <w:gridCol w:w="1244"/>
        <w:gridCol w:w="2462"/>
      </w:tblGrid>
      <w:tr>
        <w:trPr>
          <w:trHeight w:val="112" w:hRule="atLeast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 2.3.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Растворы высокомолекулярных веществ (ВМВ)</w:t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Высокомолекулярные вещества.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характеристика ВМВ, их значение, устойчивость ВМВ; набухание, его виды; высаливание ВМВ; студнеобразование, защитное действие растворов ВМВ. Термодинамическая устойчивость растворов ВМВ. Сходство и различие с истинными и коллоидными системами.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 01-11,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1.1.-1.4. ПК 2.1-2.4. ПК 3.1.-3.2,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ПК 4.1-4,5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ЛР1 ЛР16 ЛР17 ЛР18, ЛР19</w:t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Набухание ВМВ. Нарушение устойчивости растворов ВМВ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Явление набухания ВМВ. Неограниченное и ограниченное набухание. Практическое значение процессов набухания. Нарушение устойчивости растворов ВМВ. Студни и гели. Явление защиты Вязкость растворов ВМВ. Определение молекулярной массы ВМВ.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2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Итоговый контроль -дифзачет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  <w:tr>
        <w:trPr>
          <w:trHeight w:val="112" w:hRule="atLeast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96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</w:r>
          </w:p>
        </w:tc>
      </w:tr>
    </w:tbl>
    <w:p>
      <w:pPr>
        <w:sectPr>
          <w:footerReference w:type="default" r:id="rId4"/>
          <w:footerReference w:type="first" r:id="rId5"/>
          <w:type w:val="nextPage"/>
          <w:pgSz w:orient="landscape" w:w="16838" w:h="11906"/>
          <w:pgMar w:left="1560" w:right="1670" w:gutter="0" w:header="0" w:top="567" w:footer="720" w:bottom="777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uppressAutoHyphens w:val="false"/>
        <w:spacing w:lineRule="auto" w:line="240" w:before="200" w:after="0"/>
        <w:ind w:left="0" w:right="0" w:hanging="0"/>
        <w:jc w:val="left"/>
        <w:rPr/>
      </w:pPr>
      <w:r>
        <w:rPr/>
      </w:r>
    </w:p>
    <w:p>
      <w:pPr>
        <w:pStyle w:val="1"/>
        <w:spacing w:before="0" w:after="161"/>
        <w:ind w:left="1139" w:right="4" w:hanging="10"/>
        <w:rPr/>
      </w:pPr>
      <w:bookmarkStart w:id="3" w:name="_Toc22983"/>
      <w:r>
        <w:rPr/>
        <w:t>3</w:t>
      </w:r>
      <w:r>
        <w:rPr>
          <w:rFonts w:eastAsia="Arial" w:cs="Arial" w:ascii="Arial" w:hAnsi="Arial"/>
        </w:rPr>
        <w:t xml:space="preserve"> </w:t>
      </w:r>
      <w:r>
        <w:rPr/>
        <w:t xml:space="preserve">УСЛОВИЯ РЕАЛИЗАЦИИ ПРОГРАММЫ УЧЕБНОЙ ДИСЦИПЛИНЫ </w:t>
      </w:r>
      <w:bookmarkEnd w:id="3"/>
    </w:p>
    <w:p>
      <w:pPr>
        <w:pStyle w:val="Normal"/>
        <w:spacing w:lineRule="auto" w:line="259" w:before="0" w:after="154"/>
        <w:ind w:left="10" w:right="0" w:hanging="10"/>
        <w:jc w:val="left"/>
        <w:rPr/>
      </w:pPr>
      <w:r>
        <w:rPr>
          <w:b/>
        </w:rPr>
        <w:t xml:space="preserve">3.1. Требования к минимальному материально-техническому обеспечению. </w:t>
      </w:r>
    </w:p>
    <w:p>
      <w:pPr>
        <w:pStyle w:val="Normal"/>
        <w:spacing w:lineRule="auto" w:line="391"/>
        <w:ind w:left="-11" w:right="0" w:firstLine="542"/>
        <w:rPr/>
      </w:pPr>
      <w:r>
        <w:rPr/>
        <w:t>Реализация программы дисциплины требует наличия учебного кабинета – спецтехнологии. лаборатории физическая и коллоидная химии.</w:t>
      </w:r>
    </w:p>
    <w:p>
      <w:pPr>
        <w:pStyle w:val="Normal"/>
        <w:spacing w:before="0" w:after="172"/>
        <w:ind w:left="-1" w:right="0" w:hanging="10"/>
        <w:rPr/>
      </w:pPr>
      <w:r>
        <w:rPr/>
        <w:t xml:space="preserve">Оборудование учебного кабинета: </w:t>
      </w:r>
    </w:p>
    <w:p>
      <w:pPr>
        <w:pStyle w:val="Normal"/>
        <w:spacing w:before="0" w:after="127"/>
        <w:ind w:left="10" w:right="0" w:hanging="10"/>
        <w:rPr/>
      </w:pPr>
      <w:r>
        <w:rPr/>
        <w:t xml:space="preserve">- посадочные места по количеству мест обучающихся; </w:t>
      </w:r>
    </w:p>
    <w:p>
      <w:pPr>
        <w:pStyle w:val="Normal"/>
        <w:spacing w:before="0" w:after="128"/>
        <w:ind w:left="10" w:right="0" w:hanging="10"/>
        <w:rPr/>
      </w:pPr>
      <w:r>
        <w:rPr/>
        <w:t xml:space="preserve">- рабочее место преподавателя; </w:t>
      </w:r>
    </w:p>
    <w:p>
      <w:pPr>
        <w:pStyle w:val="Normal"/>
        <w:spacing w:before="0" w:after="100"/>
        <w:ind w:left="10" w:right="0" w:hanging="10"/>
        <w:rPr/>
      </w:pPr>
      <w:r>
        <w:rPr/>
        <w:t>- заводские технологические схемы установок и аппаратуры.</w:t>
      </w:r>
    </w:p>
    <w:p>
      <w:pPr>
        <w:pStyle w:val="Normal"/>
        <w:spacing w:before="0" w:after="152"/>
        <w:ind w:left="-1" w:right="0" w:hanging="10"/>
        <w:rPr/>
      </w:pPr>
      <w:r>
        <w:rPr/>
        <w:t xml:space="preserve">Технические средства обучения: </w:t>
      </w:r>
    </w:p>
    <w:p>
      <w:pPr>
        <w:pStyle w:val="Normal"/>
        <w:numPr>
          <w:ilvl w:val="0"/>
          <w:numId w:val="1"/>
        </w:numPr>
        <w:spacing w:before="0" w:after="147"/>
        <w:ind w:left="144" w:right="0" w:hanging="144"/>
        <w:rPr/>
      </w:pPr>
      <w:r>
        <w:rPr/>
        <w:t xml:space="preserve">Дистилляционная колонна </w:t>
      </w:r>
    </w:p>
    <w:p>
      <w:pPr>
        <w:pStyle w:val="Normal"/>
        <w:numPr>
          <w:ilvl w:val="0"/>
          <w:numId w:val="1"/>
        </w:numPr>
        <w:spacing w:before="0" w:after="147"/>
        <w:ind w:left="144" w:right="0" w:hanging="144"/>
        <w:rPr/>
      </w:pPr>
      <w:r>
        <w:rPr/>
        <w:t xml:space="preserve">многофункциональный реактор </w:t>
      </w:r>
    </w:p>
    <w:p>
      <w:pPr>
        <w:pStyle w:val="Normal"/>
        <w:numPr>
          <w:ilvl w:val="0"/>
          <w:numId w:val="1"/>
        </w:numPr>
        <w:spacing w:before="0" w:after="139"/>
        <w:ind w:left="144" w:right="0" w:hanging="144"/>
        <w:rPr/>
      </w:pPr>
      <w:r>
        <w:rPr/>
        <w:t>мультимедийный проектор;</w:t>
      </w:r>
    </w:p>
    <w:p>
      <w:pPr>
        <w:pStyle w:val="Normal"/>
        <w:numPr>
          <w:ilvl w:val="0"/>
          <w:numId w:val="1"/>
        </w:numPr>
        <w:spacing w:before="0" w:after="154"/>
        <w:ind w:left="144" w:right="0" w:hanging="144"/>
        <w:rPr/>
      </w:pPr>
      <w:r>
        <w:rPr/>
        <w:t xml:space="preserve">экран;  </w:t>
      </w:r>
    </w:p>
    <w:p>
      <w:pPr>
        <w:pStyle w:val="Normal"/>
        <w:numPr>
          <w:ilvl w:val="0"/>
          <w:numId w:val="1"/>
        </w:numPr>
        <w:spacing w:before="0" w:after="224"/>
        <w:ind w:left="144" w:right="0" w:hanging="144"/>
        <w:rPr/>
      </w:pPr>
      <w:r>
        <w:rPr/>
        <w:t xml:space="preserve">компьютер с лицензионным программным обеспечением. </w:t>
      </w:r>
    </w:p>
    <w:p>
      <w:pPr>
        <w:pStyle w:val="Normal"/>
        <w:spacing w:before="0" w:after="148"/>
        <w:ind w:left="-1" w:right="0" w:hanging="10"/>
        <w:rPr/>
      </w:pPr>
      <w:r>
        <w:rPr>
          <w:b/>
        </w:rPr>
        <w:t xml:space="preserve">3.2. Информационное обеспечение обучения </w:t>
      </w:r>
      <w:r>
        <w:rPr/>
        <w:t xml:space="preserve">(перечень рекомендуемых учебных изданий, </w:t>
      </w:r>
    </w:p>
    <w:p>
      <w:pPr>
        <w:pStyle w:val="Normal"/>
        <w:spacing w:before="0" w:after="107"/>
        <w:ind w:left="-1" w:right="0" w:hanging="10"/>
        <w:rPr/>
      </w:pPr>
      <w:r>
        <w:rPr/>
        <w:t xml:space="preserve">дополнительной литературы, Интернет-ресурсов,). </w:t>
      </w:r>
    </w:p>
    <w:p>
      <w:pPr>
        <w:pStyle w:val="Normal"/>
        <w:spacing w:lineRule="auto" w:line="259" w:before="0" w:after="159"/>
        <w:ind w:left="0" w:right="0" w:hanging="0"/>
        <w:jc w:val="left"/>
        <w:rPr/>
      </w:pPr>
      <w:r>
        <w:rPr/>
      </w:r>
    </w:p>
    <w:p>
      <w:pPr>
        <w:pStyle w:val="Normal"/>
        <w:spacing w:before="0" w:after="152"/>
        <w:ind w:left="0" w:right="0" w:hanging="0"/>
        <w:rPr>
          <w:b/>
          <w:b/>
          <w:bCs/>
        </w:rPr>
      </w:pPr>
      <w:r>
        <w:rPr>
          <w:b/>
          <w:bCs/>
        </w:rPr>
        <w:t xml:space="preserve">Основная литература: </w:t>
      </w:r>
    </w:p>
    <w:p>
      <w:pPr>
        <w:pStyle w:val="Normal"/>
        <w:spacing w:before="0" w:after="152"/>
        <w:ind w:left="0" w:right="0" w:hanging="0"/>
        <w:rPr/>
      </w:pPr>
      <w:r>
        <w:rPr/>
        <w:t>1 Конюхов, В.Ю. Физическая и коллоидная химия. В 2 ч. Часть 1. Физическая химия: учебник для среднего профессионального образования / В. Ю. Конюхов [и др.]; под редакцией В. Ю. Конюхова, К. И. Попова. — 2-е изд., испр. и доп. — Москва: Издательство Юрайт, 2021 — 259 с.— ISBN 978-5-534-08974-5 // ЭБС Юрайт [сайт]. — URL: https://biblioonline.ru/bcode/441315</w:t>
      </w:r>
    </w:p>
    <w:p>
      <w:pPr>
        <w:pStyle w:val="Normal"/>
        <w:spacing w:before="0" w:after="152"/>
        <w:ind w:left="0" w:right="0" w:hanging="0"/>
        <w:rPr/>
      </w:pPr>
      <w:r>
        <w:rPr/>
        <w:t>2 Конюхов, В.Ю. Физическая и коллоидная химия. В 2 ч. Часть 2: учебник для среднего</w:t>
      </w:r>
    </w:p>
    <w:p>
      <w:pPr>
        <w:pStyle w:val="Normal"/>
        <w:spacing w:before="0" w:after="152"/>
        <w:ind w:left="0" w:right="0" w:hanging="0"/>
        <w:rPr/>
      </w:pPr>
      <w:r>
        <w:rPr/>
        <w:t xml:space="preserve">профессионального образования / В. Ю. Конюхов [и др.]; под редакцией В. Ю. Конюхова, К. И. Попова. — 2-е изд., испр. и доп. — Москва: Издательство Юрайт, 2021 — 309 с.— ISBN 978-5-534-08976-9. // ЭБС Юрайт [сайт]. — URL: https://biblio-online.ru/bcode/441316. </w:t>
      </w:r>
    </w:p>
    <w:p>
      <w:pPr>
        <w:pStyle w:val="Normal"/>
        <w:spacing w:before="0" w:after="152"/>
        <w:ind w:left="0" w:right="0" w:hanging="0"/>
        <w:rPr>
          <w:b/>
          <w:b/>
          <w:bCs/>
        </w:rPr>
      </w:pPr>
      <w:r>
        <w:rPr>
          <w:b/>
          <w:bCs/>
        </w:rPr>
        <w:t>Дополнительная литература:</w:t>
      </w:r>
    </w:p>
    <w:p>
      <w:pPr>
        <w:pStyle w:val="Normal"/>
        <w:spacing w:before="0" w:after="106"/>
        <w:ind w:left="0" w:right="0" w:hanging="0"/>
        <w:rPr/>
      </w:pPr>
      <w:r>
        <w:rPr/>
        <w:t>1 Гавронская, Ю. Ю. Коллоидная химия: учебник и практикум для среднего профессионального образования / Ю. Ю. Гавронская, В. Н. Пак. — Москва: Издательство Юрайт, 2019. — 287 с.— ISBN 978-5-534-00666-7 // ЭБС Юрайт [сайт]. — URL: https://biblioonline.ru/bcode/434581.</w:t>
      </w:r>
    </w:p>
    <w:p>
      <w:pPr>
        <w:pStyle w:val="Normal"/>
        <w:spacing w:before="0" w:after="106"/>
        <w:ind w:left="0" w:right="0" w:hanging="0"/>
        <w:rPr/>
      </w:pPr>
      <w:r>
        <w:rPr/>
        <w:t>2 Кудряшева, Н. С. Физическая и коллоидная химия: учебник и практикум для среднего</w:t>
      </w:r>
    </w:p>
    <w:p>
      <w:pPr>
        <w:pStyle w:val="Normal"/>
        <w:spacing w:before="0" w:after="106"/>
        <w:ind w:left="0" w:right="0" w:hanging="0"/>
        <w:rPr/>
      </w:pPr>
      <w:r>
        <w:rPr/>
        <w:t xml:space="preserve">профессионального образования / Н. С. Кудряшева, Л. Г. Бондарева. — 2-е изд., перераб. и доп. — Москва: Издательство Юрайт, 2019. — 379 с. —ISBN 978-5-534-00447-2 // ЭБС Юрайт [сайт]. — URL: </w:t>
      </w:r>
      <w:hyperlink r:id="rId6">
        <w:r>
          <w:rPr>
            <w:rStyle w:val="Style13"/>
          </w:rPr>
          <w:t>https://biblio-online.ru/bcode/433315</w:t>
        </w:r>
      </w:hyperlink>
      <w:r>
        <w:rPr/>
        <w:t>.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spacing w:before="0" w:after="106"/>
        <w:ind w:left="0" w:right="0" w:hanging="0"/>
        <w:rPr/>
      </w:pPr>
      <w:r>
        <w:rPr/>
      </w:r>
    </w:p>
    <w:p>
      <w:pPr>
        <w:pStyle w:val="Normal"/>
        <w:spacing w:before="0" w:after="106"/>
        <w:ind w:left="0" w:right="0" w:hanging="0"/>
        <w:rPr/>
      </w:pPr>
      <w:r>
        <w:rPr/>
        <w:t>3 Степановских Е.И., Физическая химия: расчетные работы. В 2 ч. Часть 1: учебное пособие для среднего профессионального образования / Е. И. Степановских [и др.]; под редакцией Е. И. Степановских; под научной редакцией В. Ф. Маркова. — 2-е изд. — Москва: Издательство Юрайт, 2019; ISBN 978-5-7996-1689-2 // ЭБС Юрайт [сайт]. — URL: https://biblioonline.ru/bcode/442056</w:t>
      </w:r>
    </w:p>
    <w:p>
      <w:pPr>
        <w:pStyle w:val="Normal"/>
        <w:spacing w:before="0" w:after="106"/>
        <w:ind w:left="0" w:right="0" w:hanging="0"/>
        <w:rPr/>
      </w:pPr>
      <w:r>
        <w:rPr/>
        <w:t xml:space="preserve">4 Яковлева, А. А. Коллоидная химия: учебное пособие для среднего профессионального образования / А. А. Яковлева. — 2-е изд., испр. и доп. — Москва: Издательство Юрайт, 2019. — 209 с.— ISBN 978-5-534-10669-5 // ЭБС Юрайт [сайт]. — URL: </w:t>
      </w:r>
      <w:hyperlink r:id="rId7">
        <w:r>
          <w:rPr>
            <w:rStyle w:val="Style13"/>
          </w:rPr>
          <w:t>https://biblioonline.ru/bcode/431057</w:t>
        </w:r>
      </w:hyperlink>
      <w:r>
        <w:rPr/>
        <w:t xml:space="preserve"> </w:t>
      </w:r>
    </w:p>
    <w:p>
      <w:pPr>
        <w:pStyle w:val="Normal"/>
        <w:spacing w:before="0" w:after="106"/>
        <w:ind w:left="0" w:right="0" w:hanging="0"/>
        <w:rPr>
          <w:b/>
          <w:b/>
          <w:bCs/>
        </w:rPr>
      </w:pPr>
      <w:r>
        <w:rPr>
          <w:b/>
          <w:bCs/>
        </w:rPr>
        <w:t xml:space="preserve">Интернет-ресурсы: </w:t>
      </w:r>
    </w:p>
    <w:p>
      <w:pPr>
        <w:pStyle w:val="Normal"/>
        <w:ind w:left="0" w:right="4" w:hanging="0"/>
        <w:rPr/>
      </w:pPr>
      <w:r>
        <w:rPr/>
        <w:t>Альтернативные источники энергии (сайт) URL: http://www.alternativenergy.ru. (дата обращения 17.09.2016). Портал URL: http:// www.nanometer.ru. (дата обращения 22.08.2017);</w:t>
      </w:r>
    </w:p>
    <w:p>
      <w:pPr>
        <w:pStyle w:val="Normal"/>
        <w:ind w:left="0" w:right="4" w:hanging="0"/>
        <w:rPr/>
      </w:pPr>
      <w:r>
        <w:rPr/>
        <w:t>Тесты физическая химия (сайт) URL: http:// www.twipx.com.ru. (дата обращения 11.02.2017);</w:t>
      </w:r>
    </w:p>
    <w:p>
      <w:pPr>
        <w:pStyle w:val="Normal"/>
        <w:ind w:left="0" w:right="4" w:hanging="0"/>
        <w:rPr/>
      </w:pPr>
      <w:r>
        <w:rPr/>
        <w:t xml:space="preserve">Химические науки и образование в России (сайт) URL: http:// </w:t>
      </w:r>
      <w:hyperlink r:id="rId8">
        <w:r>
          <w:rPr>
            <w:rStyle w:val="Style13"/>
          </w:rPr>
          <w:t>www.chemnet.ru</w:t>
        </w:r>
      </w:hyperlink>
      <w:r>
        <w:rPr/>
        <w:t>. (дата обращения 03.02.2017);</w:t>
      </w:r>
    </w:p>
    <w:p>
      <w:pPr>
        <w:pStyle w:val="Normal"/>
        <w:spacing w:lineRule="auto" w:line="259" w:before="0" w:after="160"/>
        <w:ind w:left="709" w:right="0" w:hanging="0"/>
        <w:jc w:val="left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ind w:left="1080" w:right="0" w:hanging="0"/>
        <w:rPr/>
      </w:pPr>
      <w:r>
        <w:rPr/>
      </w:r>
    </w:p>
    <w:p>
      <w:pPr>
        <w:pStyle w:val="1"/>
        <w:spacing w:before="0" w:after="0"/>
        <w:ind w:left="471" w:right="4" w:hanging="10"/>
        <w:rPr/>
      </w:pPr>
      <w:bookmarkStart w:id="4" w:name="_Toc22984"/>
      <w:r>
        <w:rPr/>
        <w:t>4</w:t>
      </w:r>
      <w:r>
        <w:rPr>
          <w:rFonts w:eastAsia="Arial" w:cs="Arial" w:ascii="Arial" w:hAnsi="Arial"/>
        </w:rPr>
        <w:t xml:space="preserve"> </w:t>
      </w:r>
      <w:r>
        <w:rPr/>
        <w:t xml:space="preserve">КОНТРОЛЬ И ОЦЕНКА РЕЗУЛЬТАТОВ ОСВОЕНИЯ УЧЕБНОЙ ДИСЦИПЛИНЫ </w:t>
      </w:r>
      <w:bookmarkEnd w:id="4"/>
    </w:p>
    <w:tbl>
      <w:tblPr>
        <w:tblStyle w:val="TableGrid"/>
        <w:tblW w:w="10915" w:type="dxa"/>
        <w:jc w:val="left"/>
        <w:tblInd w:w="-573" w:type="dxa"/>
        <w:tblLayout w:type="fixed"/>
        <w:tblCellMar>
          <w:top w:w="36" w:type="dxa"/>
          <w:left w:w="85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4959"/>
        <w:gridCol w:w="3262"/>
        <w:gridCol w:w="2694"/>
      </w:tblGrid>
      <w:tr>
        <w:trPr>
          <w:trHeight w:val="622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4"/>
              <w:ind w:left="1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Результаты обучения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(освоенные умения, усвоенные знания) 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59" w:before="0" w:after="24"/>
              <w:ind w:left="11" w:righ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Формы и методы контроля и оценки  результатов обучения</w:t>
            </w:r>
          </w:p>
        </w:tc>
      </w:tr>
      <w:tr>
        <w:trPr>
          <w:trHeight w:val="346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8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Умения 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программой учебные задания выполнены, качество их выполнения оценено высоко.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10"/>
              <w:jc w:val="left"/>
              <w:rPr>
                <w:b/>
                <w:b/>
              </w:rPr>
            </w:pPr>
            <w:r>
              <w:rPr>
                <w:kern w:val="0"/>
                <w:szCs w:val="22"/>
                <w:lang w:val="ru-RU" w:eastAsia="ru-RU" w:bidi="ar-SA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практические занятия</w:t>
            </w:r>
          </w:p>
        </w:tc>
      </w:tr>
      <w:tr>
        <w:trPr>
          <w:trHeight w:val="536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Выполнять расчеты электродных потенциалов, электродвижущей силы гальванических элементов;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50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2 Находить в справочной литературе показатели физико-химических свойств веществ и их соединений;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практические занятия</w:t>
            </w:r>
          </w:p>
        </w:tc>
      </w:tr>
      <w:tr>
        <w:trPr>
          <w:trHeight w:val="658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3 Определять концентрацию реагирующих веществ и скорость реакций;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самостоятельная работа</w:t>
            </w:r>
          </w:p>
        </w:tc>
      </w:tr>
      <w:tr>
        <w:trPr>
          <w:trHeight w:val="301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4 Строить фазовые диаграммы;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текущий контроль в форме опроса.</w:t>
            </w:r>
          </w:p>
        </w:tc>
      </w:tr>
      <w:tr>
        <w:trPr>
          <w:trHeight w:val="300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5 Производить расчеты параметров газовых смесей, кинетических параметров химических реакций, химического равновесия;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680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6 Рассчитывать тепловые эффекты и скорость химических реакций;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самостоятельная работа</w:t>
            </w:r>
          </w:p>
        </w:tc>
      </w:tr>
      <w:tr>
        <w:trPr>
          <w:trHeight w:val="247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7 Определять параметры каталитических реакций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практические занятия</w:t>
            </w:r>
          </w:p>
        </w:tc>
      </w:tr>
      <w:tr>
        <w:trPr>
          <w:trHeight w:val="346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Знания 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855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1 Закономерности протекания химических и физико-химических процессов законы идеальных газов механизм действия катализаторов;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дифференцированный зачет</w:t>
            </w:r>
          </w:p>
        </w:tc>
      </w:tr>
      <w:tr>
        <w:trPr>
          <w:trHeight w:val="935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2 Механизмы гомогенных и гетерогенных реакций основы физической и коллоидной химии, химической кинетики, электрохимии, химической термодинамики и термохимии;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дифференцированный зачет</w:t>
            </w:r>
          </w:p>
        </w:tc>
      </w:tr>
      <w:tr>
        <w:trPr>
          <w:trHeight w:val="475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3 Основные методы интенсификации физико-химических процессов свойства агрегатных состояний веществ;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практические занятия</w:t>
            </w:r>
          </w:p>
        </w:tc>
      </w:tr>
      <w:tr>
        <w:trPr>
          <w:trHeight w:val="777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4 Сущность и механизм катализа;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защита курсового проекта</w:t>
            </w:r>
          </w:p>
        </w:tc>
      </w:tr>
      <w:tr>
        <w:trPr>
          <w:trHeight w:val="748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5 Схемы реакций замещения и присоединения;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проведение тестовых опросов по пройденным темам</w:t>
            </w:r>
          </w:p>
        </w:tc>
      </w:tr>
      <w:tr>
        <w:trPr>
          <w:trHeight w:val="902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6 Условия химического равновесия физико-химические методы анализа веществ, применяемые приборы;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самостоятельная работа</w:t>
            </w:r>
          </w:p>
        </w:tc>
      </w:tr>
      <w:tr>
        <w:trPr>
          <w:trHeight w:val="476" w:hRule="atLeast"/>
        </w:trPr>
        <w:tc>
          <w:tcPr>
            <w:tcW w:w="4959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7 Физико-химические свойства сырьевых материалов и продуктов</w:t>
            </w:r>
          </w:p>
        </w:tc>
        <w:tc>
          <w:tcPr>
            <w:tcW w:w="326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28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практические занятия</w:t>
            </w:r>
          </w:p>
        </w:tc>
      </w:tr>
    </w:tbl>
    <w:p>
      <w:pPr>
        <w:pStyle w:val="Normal"/>
        <w:spacing w:lineRule="auto" w:line="240" w:before="0" w:after="0"/>
        <w:ind w:left="0" w:right="0" w:firstLine="284"/>
        <w:jc w:val="right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sectPr>
      <w:footerReference w:type="default" r:id="rId9"/>
      <w:type w:val="nextPage"/>
      <w:pgSz w:w="11906" w:h="16838"/>
      <w:pgMar w:left="1133" w:right="558" w:gutter="0" w:header="0" w:top="451" w:footer="433" w:bottom="1330"/>
      <w:pgNumType w:start="10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5111" w:leader="none"/>
      </w:tabs>
      <w:spacing w:lineRule="auto" w:line="259" w:before="0" w:after="0"/>
      <w:ind w:left="0" w:right="0" w:hanging="0"/>
      <w:jc w:val="right"/>
      <w:rPr/>
    </w:pPr>
    <w:r>
      <w:rPr/>
      <w:t xml:space="preserve"> </w:t>
    </w:r>
    <w:r>
      <w:rPr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6859" w:leader="none"/>
      </w:tabs>
      <w:spacing w:lineRule="auto" w:line="259" w:before="0" w:after="0"/>
      <w:ind w:left="-710" w:right="0" w:hanging="0"/>
      <w:jc w:val="right"/>
      <w:rPr/>
    </w:pPr>
    <w:r>
      <w:rPr/>
      <w:t xml:space="preserve"> </w:t>
    </w:r>
    <w:r>
      <w:rPr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6859" w:leader="none"/>
      </w:tabs>
      <w:spacing w:lineRule="auto" w:line="259" w:before="0" w:after="0"/>
      <w:ind w:left="-710" w:right="0" w:hanging="0"/>
      <w:jc w:val="right"/>
      <w:rPr/>
    </w:pPr>
    <w:r>
      <w:rPr/>
      <w:t xml:space="preserve"> </w:t>
    </w:r>
    <w:r>
      <w:rPr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44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3e53"/>
    <w:pPr>
      <w:widowControl/>
      <w:suppressAutoHyphens w:val="true"/>
      <w:bidi w:val="0"/>
      <w:spacing w:lineRule="auto" w:line="264" w:before="0" w:after="3"/>
      <w:ind w:left="10" w:right="4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23"/>
      <w:ind w:left="10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ru-RU" w:eastAsia="ru-RU" w:bidi="ar-SA"/>
    </w:rPr>
  </w:style>
  <w:style w:type="paragraph" w:styleId="2">
    <w:name w:val="Heading 2"/>
    <w:next w:val="Normal"/>
    <w:link w:val="21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ind w:left="10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e174d8"/>
    <w:rPr>
      <w:rFonts w:ascii="Times New Roman" w:hAnsi="Times New Roman" w:eastAsia="Times New Roman" w:cs="Times New Roman"/>
      <w:color w:val="000000"/>
      <w:sz w:val="24"/>
    </w:rPr>
  </w:style>
  <w:style w:type="character" w:styleId="Style13">
    <w:name w:val="Hyperlink"/>
    <w:basedOn w:val="DefaultParagraphFont"/>
    <w:uiPriority w:val="99"/>
    <w:unhideWhenUsed/>
    <w:rsid w:val="00327860"/>
    <w:rPr>
      <w:color w:val="0563C1" w:themeColor="hyperlink"/>
      <w:u w:val="single"/>
    </w:rPr>
  </w:style>
  <w:style w:type="character" w:styleId="Style14" w:customStyle="1">
    <w:name w:val="Ссылка указателя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27860"/>
    <w:rPr>
      <w:color w:val="605E5C"/>
      <w:shd w:fill="E1DFDD" w:val="clear"/>
    </w:rPr>
  </w:style>
  <w:style w:type="character" w:styleId="Style15">
    <w:name w:val="FollowedHyperlink"/>
    <w:basedOn w:val="DefaultParagraphFont"/>
    <w:uiPriority w:val="99"/>
    <w:semiHidden/>
    <w:unhideWhenUsed/>
    <w:rsid w:val="00354d10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>
    <w:name w:val="TOC 1"/>
    <w:uiPriority w:val="39"/>
    <w:pPr>
      <w:widowControl/>
      <w:suppressAutoHyphens w:val="true"/>
      <w:bidi w:val="0"/>
      <w:spacing w:lineRule="auto" w:line="259" w:before="0" w:after="240"/>
      <w:ind w:left="139" w:right="112" w:hanging="1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ru-RU" w:eastAsia="ru-RU" w:bidi="ar-SA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e174d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Index Heading"/>
    <w:basedOn w:val="Style16"/>
    <w:pPr/>
    <w:rPr/>
  </w:style>
  <w:style w:type="paragraph" w:styleId="Style26">
    <w:name w:val="TOC Heading"/>
    <w:basedOn w:val="1"/>
    <w:next w:val="Normal"/>
    <w:uiPriority w:val="39"/>
    <w:unhideWhenUsed/>
    <w:qFormat/>
    <w:rsid w:val="00e40395"/>
    <w:pPr>
      <w:spacing w:before="240" w:after="0"/>
      <w:ind w:left="0" w:hanging="0"/>
    </w:pPr>
    <w:rPr>
      <w:rFonts w:ascii="Calibri Light" w:hAnsi="Calibri Light" w:eastAsia="" w:cs="" w:asciiTheme="majorHAnsi" w:cstheme="majorBidi" w:eastAsiaTheme="majorEastAsia" w:hAnsiTheme="majorHAnsi"/>
      <w:b w:val="false"/>
      <w:color w:val="2F5496" w:themeColor="accent1" w:themeShade="bf"/>
      <w:sz w:val="32"/>
      <w:szCs w:val="32"/>
    </w:rPr>
  </w:style>
  <w:style w:type="paragraph" w:styleId="22">
    <w:name w:val="TOC 2"/>
    <w:basedOn w:val="Normal"/>
    <w:next w:val="Normal"/>
    <w:autoRedefine/>
    <w:uiPriority w:val="39"/>
    <w:unhideWhenUsed/>
    <w:rsid w:val="00e40395"/>
    <w:pPr>
      <w:spacing w:lineRule="auto" w:line="259" w:before="0" w:after="100"/>
      <w:ind w:left="220" w:right="0" w:hanging="0"/>
      <w:jc w:val="left"/>
    </w:pPr>
    <w:rPr>
      <w:rFonts w:ascii="Calibri" w:hAnsi="Calibri" w:eastAsia="" w:asciiTheme="minorHAnsi" w:eastAsiaTheme="minorEastAsia" w:hAnsiTheme="minorHAnsi"/>
      <w:color w:val="auto"/>
      <w:sz w:val="22"/>
    </w:rPr>
  </w:style>
  <w:style w:type="paragraph" w:styleId="3">
    <w:name w:val="TOC 3"/>
    <w:basedOn w:val="Normal"/>
    <w:next w:val="Normal"/>
    <w:autoRedefine/>
    <w:uiPriority w:val="39"/>
    <w:unhideWhenUsed/>
    <w:rsid w:val="00e40395"/>
    <w:pPr>
      <w:spacing w:lineRule="auto" w:line="259" w:before="0" w:after="100"/>
      <w:ind w:left="440" w:right="0" w:hanging="0"/>
      <w:jc w:val="left"/>
    </w:pPr>
    <w:rPr>
      <w:rFonts w:ascii="Calibri" w:hAnsi="Calibri" w:eastAsia="" w:asciiTheme="minorHAnsi" w:eastAsiaTheme="minorEastAsia" w:hAnsiTheme="minorHAnsi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526ed1"/>
    <w:pPr>
      <w:spacing w:before="0" w:after="3"/>
      <w:ind w:left="720" w:right="4" w:hanging="10"/>
      <w:contextualSpacing/>
    </w:pPr>
    <w:rPr/>
  </w:style>
  <w:style w:type="paragraph" w:styleId="Style27">
    <w:name w:val="Foot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Текущий список1"/>
    <w:uiPriority w:val="99"/>
    <w:qFormat/>
    <w:rsid w:val="00b229d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39"/>
    <w:rsid w:val="004b54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hyperlink" Target="https://biblio-online.ru/bcode/433315" TargetMode="External"/><Relationship Id="rId7" Type="http://schemas.openxmlformats.org/officeDocument/2006/relationships/hyperlink" Target="https://biblioonline.ru/bcode/431057" TargetMode="External"/><Relationship Id="rId8" Type="http://schemas.openxmlformats.org/officeDocument/2006/relationships/hyperlink" Target="http://www.chemnet.ru/" TargetMode="External"/><Relationship Id="rId9" Type="http://schemas.openxmlformats.org/officeDocument/2006/relationships/footer" Target="footer5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4418-14DA-4C68-B6A9-C985CA1D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LibreOffice/7.4.7.2$Windows_X86_64 LibreOffice_project/723314e595e8007d3cf785c16538505a1c878ca5</Application>
  <AppVersion>15.0000</AppVersion>
  <Pages>14</Pages>
  <Words>2305</Words>
  <Characters>17290</Characters>
  <CharactersWithSpaces>19366</CharactersWithSpaces>
  <Paragraphs>451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2024-01-19T02:54:00Z</dcterms:created>
  <dc:creator>PC</dc:creator>
  <dc:description/>
  <dc:language>ru-RU</dc:language>
  <cp:lastModifiedBy/>
  <dcterms:modified xsi:type="dcterms:W3CDTF">2024-01-19T17:53:29Z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