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ED" w:rsidRPr="001F4CED" w:rsidRDefault="001F4CED" w:rsidP="001F4CED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МИНИСТЕРСТВО</w:t>
      </w:r>
      <w:r w:rsidRPr="001F4C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МОСКОВСКОЙ</w:t>
      </w:r>
      <w:r w:rsidRPr="001F4C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 w:rsidRPr="001F4C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Московской</w:t>
      </w:r>
      <w:r w:rsidRPr="001F4C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«Воскресенский</w:t>
      </w:r>
      <w:r w:rsidRPr="001F4C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F4CED" w:rsidRPr="001F4CED" w:rsidRDefault="001F4CED" w:rsidP="001F4CED">
      <w:pPr>
        <w:widowControl w:val="0"/>
        <w:autoSpaceDE w:val="0"/>
        <w:autoSpaceDN w:val="0"/>
        <w:spacing w:before="195" w:after="0" w:line="362" w:lineRule="auto"/>
        <w:ind w:left="3202" w:right="26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  <w:r w:rsidRPr="001F4C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DB41B4" w:rsidRPr="00DB41B4">
        <w:rPr>
          <w:rFonts w:ascii="Times New Roman" w:eastAsia="Times New Roman" w:hAnsi="Times New Roman" w:cs="Times New Roman"/>
          <w:b/>
          <w:sz w:val="24"/>
          <w:u w:val="single"/>
        </w:rPr>
        <w:t>О</w:t>
      </w:r>
      <w:r w:rsidR="00DB41B4">
        <w:rPr>
          <w:rFonts w:ascii="Times New Roman" w:eastAsia="Times New Roman" w:hAnsi="Times New Roman" w:cs="Times New Roman"/>
          <w:b/>
          <w:sz w:val="24"/>
          <w:u w:val="single"/>
        </w:rPr>
        <w:t xml:space="preserve">ДБ.04. У. </w:t>
      </w:r>
      <w:r w:rsidR="00985E52" w:rsidRPr="00985E52">
        <w:rPr>
          <w:rFonts w:ascii="Times New Roman" w:eastAsia="Times New Roman" w:hAnsi="Times New Roman" w:cs="Times New Roman"/>
          <w:b/>
          <w:sz w:val="24"/>
          <w:u w:val="single"/>
        </w:rPr>
        <w:t>Математика</w:t>
      </w:r>
    </w:p>
    <w:p w:rsidR="001F4CED" w:rsidRPr="001F4CED" w:rsidRDefault="001F4CED" w:rsidP="001F4CE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186B01" w:rsidRPr="00186B01" w:rsidRDefault="00985E52" w:rsidP="00186B01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Профессия: </w:t>
      </w:r>
      <w:r w:rsidR="00186B01" w:rsidRPr="00186B01">
        <w:rPr>
          <w:rFonts w:ascii="Times New Roman" w:eastAsia="Times New Roman" w:hAnsi="Times New Roman" w:cs="Times New Roman"/>
          <w:sz w:val="24"/>
          <w:u w:val="single"/>
        </w:rPr>
        <w:t>20.01.01 Пожарный</w:t>
      </w:r>
    </w:p>
    <w:p w:rsidR="001F4CED" w:rsidRPr="001F4CED" w:rsidRDefault="001F4CED" w:rsidP="001F4CED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обучающихся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20</w:t>
      </w:r>
      <w:r w:rsidR="00985E52">
        <w:rPr>
          <w:rFonts w:ascii="Times New Roman" w:eastAsia="Times New Roman" w:hAnsi="Times New Roman" w:cs="Times New Roman"/>
          <w:sz w:val="24"/>
        </w:rPr>
        <w:t>22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года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набора.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F4CED" w:rsidRPr="001F4CED" w:rsidRDefault="001F4CED" w:rsidP="001F4CED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1F4CED" w:rsidRPr="001F4CED" w:rsidRDefault="001F4CED" w:rsidP="001F4C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64598" w:rsidRDefault="00664598" w:rsidP="001F4CED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bookmarkStart w:id="0" w:name="_GoBack"/>
      <w:r>
        <w:rPr>
          <w:rFonts w:ascii="Times New Roman" w:hAnsi="Times New Roman"/>
          <w:sz w:val="24"/>
          <w:szCs w:val="28"/>
        </w:rPr>
        <w:t>ОДБ.04.</w:t>
      </w:r>
      <w:r w:rsidR="00BD6248">
        <w:rPr>
          <w:rFonts w:ascii="Times New Roman" w:hAnsi="Times New Roman"/>
          <w:sz w:val="24"/>
          <w:szCs w:val="28"/>
        </w:rPr>
        <w:t xml:space="preserve">У </w:t>
      </w:r>
      <w:r>
        <w:rPr>
          <w:rFonts w:ascii="Times New Roman" w:hAnsi="Times New Roman"/>
          <w:sz w:val="24"/>
          <w:szCs w:val="28"/>
        </w:rPr>
        <w:t xml:space="preserve">Математика </w:t>
      </w:r>
      <w:bookmarkEnd w:id="0"/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/>
          <w:sz w:val="24"/>
          <w:szCs w:val="24"/>
        </w:rPr>
        <w:t xml:space="preserve">43.01.09 </w:t>
      </w:r>
      <w:r w:rsidR="0070737C" w:rsidRPr="00186B01">
        <w:rPr>
          <w:rFonts w:ascii="Times New Roman" w:eastAsia="Times New Roman" w:hAnsi="Times New Roman" w:cs="Times New Roman"/>
          <w:sz w:val="24"/>
          <w:u w:val="single"/>
        </w:rPr>
        <w:t>Пожарный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утверждённый приказом Министерства образования и науки Российской Федерации от 9 декабря 2016 года № 854;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и </w:t>
      </w:r>
      <w:r>
        <w:rPr>
          <w:rFonts w:ascii="Times New Roman" w:hAnsi="Times New Roman"/>
          <w:sz w:val="24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8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Рабочая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программа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ориентирована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достижение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следующих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целей: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формирование представлений о математике как универсальном языке науки, средстве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моделирования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явлений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процессов,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идеях 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методах математики;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развитие логического мышления, пространственного воображения, алгоритмической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критичности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мышления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уровне,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необходимом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будущей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деятельности,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продолжения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овладение математическими знаниями и умениями, необходимыми в повседневной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жизни, для изучения смежных естественно-научных дисциплин на базовом уровне 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цикла,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получения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областях,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требующих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углубленной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подготовки;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воспитание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средствами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личности,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понимания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значимости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 для научно-технического прогресса, отношения к математике как к части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общечеловеческой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через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знакомство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историей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эволюцией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 идей.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016" w:right="401" w:firstLine="710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Содержание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учебной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разработано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соответствии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основными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содержательными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линиями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обучения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математике: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алгебраическая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систематизацию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сведений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числах;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новых и обобщение ранее изученных операций (возведение в степень, извлечение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корня,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логарифмирование,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синус,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косинус,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тангенс,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котангенс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обратные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 ним);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новых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видов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числовых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выражений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формул;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практических навыков и вычислительной культуры, расширение 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алгебраического аппарата, сформированного в основной школе, и его применение к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теоретико-функциональная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систематизацию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расширение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сведений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функциях,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графических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умений;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знакомство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основными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идеями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методами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анализа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объеме,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позволяющем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элементарные функции и решать простейшие геометрические, физические и другие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прикладные задачи;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F4CED" w:rsidRPr="001F4CED">
          <w:pgSz w:w="11910" w:h="16840"/>
          <w:pgMar w:top="1040" w:right="740" w:bottom="280" w:left="120" w:header="720" w:footer="720" w:gutter="0"/>
          <w:cols w:space="720"/>
        </w:sectPr>
      </w:pP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before="72" w:after="0" w:line="228" w:lineRule="auto"/>
        <w:ind w:right="395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lastRenderedPageBreak/>
        <w:t>линия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уравнений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неравенств,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основанная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построении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исследовании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моделей,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пересекающаяся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теоретико-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функциональной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техники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преобразований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уравнений,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неравенств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формирование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способности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строить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простейшие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задач,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смежных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специальных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28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геометрическая линия, включающая наглядные представления о пространственных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фигурах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свойств,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формирование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воображения,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способов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геометрических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измерений,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координатного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векторного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методов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решения 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25" w:lineRule="auto"/>
        <w:ind w:right="39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стохастическая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основанная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комбинаторных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умений,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представлений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вероятностно-статистических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закономерностях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окружающего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мира.</w:t>
      </w:r>
    </w:p>
    <w:p w:rsidR="00F55512" w:rsidRPr="00F55512" w:rsidRDefault="00F55512" w:rsidP="00F555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5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F55512" w:rsidRPr="00F55512" w:rsidTr="00F55512">
        <w:trPr>
          <w:trHeight w:val="649"/>
        </w:trPr>
        <w:tc>
          <w:tcPr>
            <w:tcW w:w="1276" w:type="dxa"/>
            <w:vAlign w:val="center"/>
            <w:hideMark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</w:t>
            </w: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понятиях, идеях и методах математического анализа;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использования готовых компьютерных программ при решении задач;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 и слабовидящих обучающихся: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правилами записи математических формул и специальных знаков рельефно-точечной системы обозначений Л. Брайля;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Драфтсмен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"Школьник");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основным функционалом программы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невизуального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информации на экране персонального компьютера, умение использовать персональные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тифлотехнические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информационно-коммуникационного доступа слепыми обучающимися;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нарушениями опорно-двигательного аппарата: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речедвигательных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сенсорных нарушений;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умения использовать персональные средства доступа.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F55512" w:rsidRPr="00F55512" w:rsidRDefault="00F55512" w:rsidP="00F5551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P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55512" w:rsidRPr="00F55512" w:rsidRDefault="00F55512" w:rsidP="00F5551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tbl>
      <w:tblPr>
        <w:tblW w:w="3789" w:type="pct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7"/>
        <w:gridCol w:w="1530"/>
      </w:tblGrid>
      <w:tr w:rsidR="00186B01" w:rsidRPr="00F55512" w:rsidTr="00F55512">
        <w:trPr>
          <w:trHeight w:val="490"/>
        </w:trPr>
        <w:tc>
          <w:tcPr>
            <w:tcW w:w="4104" w:type="pct"/>
            <w:vAlign w:val="center"/>
          </w:tcPr>
          <w:p w:rsidR="00186B01" w:rsidRPr="00B36A92" w:rsidRDefault="00186B01" w:rsidP="00186B01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186B01" w:rsidRPr="00B36A92" w:rsidRDefault="00186B01" w:rsidP="00186B01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186B01" w:rsidRPr="00F55512" w:rsidTr="00F55512">
        <w:trPr>
          <w:trHeight w:val="490"/>
        </w:trPr>
        <w:tc>
          <w:tcPr>
            <w:tcW w:w="4104" w:type="pct"/>
            <w:vAlign w:val="center"/>
          </w:tcPr>
          <w:p w:rsidR="00186B01" w:rsidRPr="00B36A92" w:rsidRDefault="00186B01" w:rsidP="00186B0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896" w:type="pct"/>
            <w:vAlign w:val="center"/>
          </w:tcPr>
          <w:p w:rsidR="00186B01" w:rsidRPr="00B36A92" w:rsidRDefault="00186B01" w:rsidP="00186B0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378</w:t>
            </w:r>
          </w:p>
        </w:tc>
      </w:tr>
      <w:tr w:rsidR="00186B01" w:rsidRPr="00F55512" w:rsidTr="00F55512">
        <w:trPr>
          <w:trHeight w:val="336"/>
        </w:trPr>
        <w:tc>
          <w:tcPr>
            <w:tcW w:w="5000" w:type="pct"/>
            <w:gridSpan w:val="2"/>
            <w:vAlign w:val="center"/>
          </w:tcPr>
          <w:p w:rsidR="00186B01" w:rsidRPr="00B36A92" w:rsidRDefault="00186B01" w:rsidP="00186B0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186B01" w:rsidRPr="00F55512" w:rsidTr="00F55512">
        <w:trPr>
          <w:trHeight w:val="490"/>
        </w:trPr>
        <w:tc>
          <w:tcPr>
            <w:tcW w:w="4104" w:type="pct"/>
            <w:vAlign w:val="center"/>
          </w:tcPr>
          <w:p w:rsidR="00186B01" w:rsidRPr="00B36A92" w:rsidRDefault="00186B01" w:rsidP="00186B01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96" w:type="pct"/>
            <w:vAlign w:val="center"/>
          </w:tcPr>
          <w:p w:rsidR="00186B01" w:rsidRPr="00B36A92" w:rsidRDefault="00186B01" w:rsidP="00186B0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355</w:t>
            </w:r>
          </w:p>
        </w:tc>
      </w:tr>
      <w:tr w:rsidR="00186B01" w:rsidRPr="00F55512" w:rsidTr="00F55512">
        <w:trPr>
          <w:trHeight w:val="267"/>
        </w:trPr>
        <w:tc>
          <w:tcPr>
            <w:tcW w:w="4104" w:type="pct"/>
            <w:vAlign w:val="center"/>
          </w:tcPr>
          <w:p w:rsidR="00186B01" w:rsidRPr="00CB5949" w:rsidRDefault="00186B01" w:rsidP="00186B01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896" w:type="pct"/>
            <w:vAlign w:val="center"/>
          </w:tcPr>
          <w:p w:rsidR="00186B01" w:rsidRPr="00B36A92" w:rsidRDefault="00186B01" w:rsidP="00186B0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186B01" w:rsidRPr="00F55512" w:rsidTr="00F55512">
        <w:trPr>
          <w:trHeight w:val="267"/>
        </w:trPr>
        <w:tc>
          <w:tcPr>
            <w:tcW w:w="4104" w:type="pct"/>
            <w:vAlign w:val="center"/>
          </w:tcPr>
          <w:p w:rsidR="00186B01" w:rsidRPr="00CB5949" w:rsidRDefault="00186B01" w:rsidP="00186B01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896" w:type="pct"/>
            <w:vAlign w:val="center"/>
          </w:tcPr>
          <w:p w:rsidR="00186B01" w:rsidRDefault="00186B01" w:rsidP="00186B0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</w:tr>
      <w:tr w:rsidR="00186B01" w:rsidRPr="00F55512" w:rsidTr="00F55512">
        <w:trPr>
          <w:trHeight w:val="331"/>
        </w:trPr>
        <w:tc>
          <w:tcPr>
            <w:tcW w:w="4104" w:type="pct"/>
            <w:vAlign w:val="center"/>
          </w:tcPr>
          <w:p w:rsidR="00186B01" w:rsidRPr="00B36A92" w:rsidRDefault="00186B01" w:rsidP="00186B0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</w:t>
            </w:r>
          </w:p>
        </w:tc>
        <w:tc>
          <w:tcPr>
            <w:tcW w:w="896" w:type="pct"/>
            <w:vAlign w:val="center"/>
          </w:tcPr>
          <w:p w:rsidR="00186B01" w:rsidRPr="00B36A92" w:rsidRDefault="00186B01" w:rsidP="00186B01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 семестр</w:t>
            </w:r>
          </w:p>
        </w:tc>
      </w:tr>
    </w:tbl>
    <w:p w:rsidR="001F4CED" w:rsidRPr="001F4CED" w:rsidRDefault="001F4CED" w:rsidP="00F55512">
      <w:pPr>
        <w:widowControl w:val="0"/>
        <w:autoSpaceDE w:val="0"/>
        <w:autoSpaceDN w:val="0"/>
        <w:spacing w:after="0" w:line="240" w:lineRule="auto"/>
        <w:ind w:left="426" w:right="1127"/>
        <w:rPr>
          <w:rFonts w:ascii="Times New Roman" w:eastAsia="Times New Roman" w:hAnsi="Times New Roman" w:cs="Times New Roman"/>
          <w:sz w:val="24"/>
        </w:rPr>
        <w:sectPr w:rsidR="001F4CED" w:rsidRPr="001F4CED">
          <w:pgSz w:w="11910" w:h="16840"/>
          <w:pgMar w:top="1040" w:right="740" w:bottom="280" w:left="120" w:header="720" w:footer="720" w:gutter="0"/>
          <w:cols w:space="720"/>
        </w:sectPr>
      </w:pP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85E52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 xml:space="preserve">Тема 1. Развитие и понятие о числе. Повторение. 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2. Прямые и плоскости в пространстве.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3. Координаты и векторы.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4. Многогранники.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5. Тела вращения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6. Измерения в геометрии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7. Функции, их свойства и графики.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8. Корни, степени и логарифмы.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9. Основы тригонометрии.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10. Последовательности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11. Производная функции.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12. Применение производной функции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13. Первообразная и интеграл.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14. Элементы комбинаторики.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15. Элементы теории вероятностей.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16. Элементы математической статистики</w:t>
      </w:r>
    </w:p>
    <w:p w:rsidR="009C51C3" w:rsidRPr="009C51C3" w:rsidRDefault="009C51C3" w:rsidP="009C51C3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Тема 17. Уравнения и неравенства.</w:t>
      </w: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85E52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985E52">
        <w:rPr>
          <w:rFonts w:ascii="Times New Roman" w:hAnsi="Times New Roman" w:cs="Times New Roman"/>
          <w:b/>
          <w:sz w:val="24"/>
          <w:szCs w:val="24"/>
        </w:rPr>
        <w:t>экзамен.</w:t>
      </w:r>
    </w:p>
    <w:p w:rsidR="00F8489F" w:rsidRPr="00985E52" w:rsidRDefault="00F8489F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F8489F" w:rsidRPr="0098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458F"/>
    <w:multiLevelType w:val="hybridMultilevel"/>
    <w:tmpl w:val="686EAFF2"/>
    <w:lvl w:ilvl="0" w:tplc="596E59D8">
      <w:start w:val="4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90A8BC">
      <w:numFmt w:val="bullet"/>
      <w:lvlText w:val="–"/>
      <w:lvlJc w:val="left"/>
      <w:pPr>
        <w:ind w:left="1016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EAC6A2">
      <w:numFmt w:val="bullet"/>
      <w:lvlText w:val="•"/>
      <w:lvlJc w:val="left"/>
      <w:pPr>
        <w:ind w:left="17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3" w:tplc="E3A0F938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4" w:tplc="991EC27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BEEE3A46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6" w:tplc="E1D0A010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06A09972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5A4C6E86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D"/>
    <w:rsid w:val="00040DA4"/>
    <w:rsid w:val="000D4750"/>
    <w:rsid w:val="00186B01"/>
    <w:rsid w:val="001F4CED"/>
    <w:rsid w:val="00624578"/>
    <w:rsid w:val="00664598"/>
    <w:rsid w:val="0070737C"/>
    <w:rsid w:val="00805A7D"/>
    <w:rsid w:val="00985E52"/>
    <w:rsid w:val="009A7069"/>
    <w:rsid w:val="009C51C3"/>
    <w:rsid w:val="00AE63AE"/>
    <w:rsid w:val="00BD6248"/>
    <w:rsid w:val="00DB41B4"/>
    <w:rsid w:val="00EC5ED5"/>
    <w:rsid w:val="00F55512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E7E2"/>
  <w15:docId w15:val="{BC90B2C2-D226-4214-8A11-2D86D25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virus.metodist@bk.ru</cp:lastModifiedBy>
  <cp:revision>17</cp:revision>
  <dcterms:created xsi:type="dcterms:W3CDTF">2022-09-11T13:56:00Z</dcterms:created>
  <dcterms:modified xsi:type="dcterms:W3CDTF">2023-01-10T08:50:00Z</dcterms:modified>
</cp:coreProperties>
</file>