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2.27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sz w:val="24"/>
          <w:szCs w:val="24"/>
        </w:rPr>
        <w:t>к ОПОП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специальности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  <w:br/>
        <w:t>21.02.05 «Земельно-имущественные отношения»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Утверждена приказом руководителя</w:t>
      </w:r>
    </w:p>
    <w:p>
      <w:pPr>
        <w:pStyle w:val="Normal"/>
        <w:bidi w:val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№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_____от 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«ОП. 05 Документационное обеспечение управления»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021г.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«30»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 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Программа учебной дисциплины ОП.05 «Документационное обеспечение управления»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2014 года, № 486.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 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Щепнов Н.В.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«ОП.05 Документационное обеспечение управления»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«ОП.05 Документационное обеспечение управления» является обязательной частью профессионального цикла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– 10, ПК 1.2, 4.6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402"/>
        <w:gridCol w:w="3271"/>
      </w:tblGrid>
      <w:tr>
        <w:trPr>
          <w:trHeight w:val="649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ОК. 1-10; ПК 1.2, 4.6; ЛР 4,7,13,14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унифицировать системы документации;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понятие, цели, задачи и принципы делопроизводства;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документационного обеспечения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классификацию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63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22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2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8785"/>
        <w:gridCol w:w="2331"/>
        <w:gridCol w:w="1630"/>
      </w:tblGrid>
      <w:tr>
        <w:trPr>
          <w:trHeight w:val="2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101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1.1. «Современная регламентация и организация службы»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Терминология делопроизводства. Нормативные документы по обеспечению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делопроизводства.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</w:t>
            </w:r>
          </w:p>
        </w:tc>
      </w:tr>
      <w:tr>
        <w:trPr>
          <w:trHeight w:val="10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2.1. «Классификация документов. Реквизиты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Классификация документов. Реквизиты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 </w:t>
            </w:r>
          </w:p>
        </w:tc>
      </w:tr>
      <w:tr>
        <w:trPr>
          <w:trHeight w:val="6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2.2. «Общие требования к тексту документа»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Технология подготовки текста документа. Требования, предъявляемые к тексту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 </w:t>
            </w:r>
          </w:p>
        </w:tc>
      </w:tr>
      <w:tr>
        <w:trPr>
          <w:trHeight w:val="37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3.1. «Оформление приказов»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приказа, основные реквизиты. Особенности оформления. Приказы по основной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деятельности. Приказы по личному составу.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 </w:t>
            </w:r>
          </w:p>
        </w:tc>
      </w:tr>
      <w:tr>
        <w:trPr>
          <w:trHeight w:val="21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приказов по основной деятельности и приказов по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личному составу.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540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3.2. «Оформление распоряжений, актов и протоколов»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Распоряжение, акт, протокол. Основные их реквизиты и особенности оформления.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</w:t>
            </w:r>
          </w:p>
        </w:tc>
      </w:tr>
      <w:tr>
        <w:trPr>
          <w:trHeight w:val="445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распоряжений, актов, протокола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58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3.3. «Оформление информационно-справочных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Назначение и состав информационно-справочной документации. Составление 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оформление справочно-информационных документов.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10, </w:t>
            </w:r>
          </w:p>
        </w:tc>
      </w:tr>
      <w:tr>
        <w:trPr>
          <w:trHeight w:val="40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оформление докладной записки, объяснительной записки,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справки, предложения, служебной записки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41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4.1. «Документооборот, документопоток»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документооборота, документопотока. Технологии обработки поступающей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документации. Внутренний документооборот. Обработка отправляемой корреспонденции.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10, </w:t>
            </w:r>
          </w:p>
        </w:tc>
      </w:tr>
      <w:tr>
        <w:trPr>
          <w:trHeight w:val="357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технологии обработки документации в конкретной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ситуации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34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4.2. «Регистрация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Регистрация документов и ее задачи. Формы регистрации документов. Компьютерные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технологии регистрации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10, </w:t>
            </w:r>
          </w:p>
        </w:tc>
      </w:tr>
      <w:tr>
        <w:trPr>
          <w:trHeight w:val="24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наиболее востребованных компьютерных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технологий регистрации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360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4.3. «Контроль исполнения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Понятие и виды контроля исполнения документов. Основные задачи контроля исполнения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документов. Сроки исполнения документов. Этапы контроля исполнения документов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10, </w:t>
            </w:r>
          </w:p>
        </w:tc>
      </w:tr>
      <w:tr>
        <w:trPr>
          <w:trHeight w:val="225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алгоритма контроля исполнения документов на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конкретном примере.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365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4.4 «Систематизация и хранение документов»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Лекция: Систематизация документов. Номенклатура дел. Формирование дел. Передача документов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архив, экспертиза ценности документов.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 xml:space="preserve">ОК 1 – 10, </w:t>
            </w:r>
          </w:p>
        </w:tc>
      </w:tr>
      <w:tr>
        <w:trPr>
          <w:trHeight w:val="420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Практическое занятие: определение порядка систематизации документов в делах 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документов к архивному хранению.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опорного конспекта, подготовка докладов, сообщений.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ЛР 4,7,13,14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0"/>
                <w:szCs w:val="20"/>
              </w:rPr>
              <w:t>ОК 1 – 10, ПК 1.2, 4.6</w:t>
            </w:r>
          </w:p>
        </w:tc>
      </w:tr>
      <w:tr>
        <w:trPr>
          <w:trHeight w:val="420" w:hRule="atLeast"/>
        </w:trPr>
        <w:tc>
          <w:tcPr>
            <w:tcW w:w="10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63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both"/>
        <w:rPr>
          <w:rFonts w:ascii="Times New Roman" w:hAnsi="Times New Roman" w:cs="Times New Roman"/>
          <w:bCs/>
          <w:i/>
          <w:i/>
          <w:highlight w:val="yellow"/>
        </w:rPr>
      </w:pPr>
      <w:r>
        <w:rPr>
          <w:rFonts w:cs="Times New Roman" w:ascii="Times New Roman" w:hAnsi="Times New Roman"/>
          <w:bCs/>
          <w:i/>
          <w:highlight w:val="yellow"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Документационного обеспечения управления</w:t>
      </w:r>
      <w:r>
        <w:rPr>
          <w:rFonts w:cs="Times New Roman" w:ascii="Times New Roman" w:hAnsi="Times New Roman"/>
          <w:sz w:val="24"/>
          <w:szCs w:val="24"/>
          <w:lang w:eastAsia="en-US"/>
        </w:rPr>
        <w:t>, оснащенный о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cs="Times New Roman" w:ascii="Times New Roman" w:hAnsi="Times New Roman"/>
          <w:sz w:val="24"/>
          <w:szCs w:val="24"/>
          <w:lang w:eastAsia="en-US"/>
        </w:rPr>
        <w:t>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«Документационное обеспечение управление», нормативные документы в области ДОУ по числу обучающихся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  <w:lang w:eastAsia="en-US"/>
        </w:rPr>
        <w:t>т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2.</w:t>
        <w:tab/>
        <w:t>Демин Ю.А. Делопроизводство. Подготовка служебных документов. М: Издательский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3.</w:t>
        <w:tab/>
        <w:t>Стенюков М.В. Делопроизводство. Документы. – М: Издательский центр «Академия» 2019. -336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4.</w:t>
        <w:tab/>
        <w:t>Стенюков  М.В.  Образцы  документов  по  делопроизводству.  М:  Издательский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учебный курс ДОУ http://portal.tolgas.ru/edt/ef_eo/edt4399/index.htm?e=4399&amp;sc=1784.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http://document-ved.ru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cs="Times New Roman" w:ascii="Times New Roman" w:hAnsi="Times New Roman"/>
            <w:sz w:val="24"/>
            <w:szCs w:val="24"/>
          </w:rPr>
          <w:t>http://www.dist-cons.ru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«Все словари» 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http://mirslovarei.com/content_biz/Reshenie-11560.html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«Сообщество HR-менеджеров» /www.hr-portal.ru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«Секретарь-референт» /www.profiz.ru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«Энциклопедия делопроизводства»/www.termika.ru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>
          <w:trHeight w:val="5610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унифицировать системы документации;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хранение и поиск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осуществлять автоматизацию обработки документов;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уметь правильно 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осуществление автоматизации обработки документов;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правильно унифицировать системы документации;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правильно осуществлять хранение и поиск документов;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использование телекоммуникационных технологий в электронном документообороте;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Текущий контроль проводится в форме устного опроса и тестирования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 по дисциплине проводится в форме экзамена в 3 семестре.</w:t>
            </w:r>
          </w:p>
        </w:tc>
      </w:tr>
      <w:tr>
        <w:trPr>
          <w:trHeight w:val="3251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знать: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понятие, цели, задачи и принципы делопроизводства;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системы документационного обеспечения управления;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классификацию документов;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требования к составлению и оформлению документов;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понятия, цели, задачи и принципы делопроизводства;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Знания основных понятий документационного обеспечения управления;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85-100% правильных ответов - «отлично»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69-84% правильных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- »хорошо»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51-68% правильных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– «удовлетворительно»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50% и менее – «неудовлетворительно»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систем документационного обеспечения управления;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классификации документов;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требованиий к составлению и оформлению документов;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Знание организации документооборота: прием, обработку, регистрацию, контроль, хранение документов, номенклатуру дел.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Выполнение домашнего задания, самостоятельной внеаудиторной работы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lineRule="auto" w:line="240" w:before="120" w:after="1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document-ved.ru/" TargetMode="External"/><Relationship Id="rId6" Type="http://schemas.openxmlformats.org/officeDocument/2006/relationships/hyperlink" Target="http://www.dist-cons.ru/" TargetMode="External"/><Relationship Id="rId7" Type="http://schemas.openxmlformats.org/officeDocument/2006/relationships/hyperlink" Target="http://mirslovarei.com/content_biz/Reshenie-11560.html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80</TotalTime>
  <Application>LibreOffice/6.4.7.2$Linux_X86_64 LibreOffice_project/40$Build-2</Application>
  <Pages>9</Pages>
  <Words>1175</Words>
  <Characters>9011</Characters>
  <CharactersWithSpaces>10009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2021-09-02T19:25:00Z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2021-09-23T11:59:47Z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