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1.10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8"/>
        </w:rPr>
      </w:pPr>
      <w:r>
        <w:rPr>
          <w:rFonts w:eastAsia="Calibri" w:ascii="Times New Roman" w:hAnsi="Times New Roman" w:eastAsiaTheme="minorHAnsi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ГБОУ МО «Воскресенский колледж»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04.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32"/>
          <w:szCs w:val="32"/>
        </w:rPr>
        <w:t>Определение стоимости недвижимого имущества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Воскресенск  2021  г.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075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04. «Определение стоимости недвижимого имущества»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ascii="Times New Roman" w:hAnsi="Times New Roman" w:eastAsiaTheme="minorHAnsi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486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Style w:val="25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ОБЩАЯ ХАРАКТЕРИСТИКА  РАБОЧЕЙ ПРОГРАММЫ ПРОФЕССИОНАЛЬНОГО МОДУЛЯ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СТРУКТУРА И СОДЕРЖАНИЕ ПРОФЕССИОНАЛЬНОГО МОДУЛЯ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УСЛОВИЯ РЕАЛИЗАЦИИ ПРОФЕССИОНАЛЬНОГО    МОДУЛЯ                                           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     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283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  <w:bookmarkStart w:id="0" w:name="_Toc283886686"/>
      <w:bookmarkStart w:id="1" w:name="_Toc283884234"/>
      <w:bookmarkStart w:id="2" w:name="_Toc283886686"/>
      <w:bookmarkStart w:id="3" w:name="_Toc283884234"/>
      <w:bookmarkEnd w:id="2"/>
      <w:bookmarkEnd w:id="3"/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  <w:bookmarkStart w:id="4" w:name="_GoBack"/>
      <w:bookmarkEnd w:id="4"/>
      <w:r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04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Определение стоимости недвижимого имущества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5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5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bCs/>
          <w:sz w:val="24"/>
          <w:szCs w:val="28"/>
        </w:rPr>
        <w:t xml:space="preserve">«Определение стоимости  недвижимого имущества»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7"/>
        <w:gridCol w:w="8343"/>
      </w:tblGrid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Style20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Style20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464C5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rFonts w:cs="Times New Roman" w:ascii="Times New Roman" w:hAnsi="Times New Roman"/>
                <w:color w:val="464C55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 определять задачи профессионального  и личного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464C5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rFonts w:cs="Times New Roman" w:ascii="Times New Roman" w:hAnsi="Times New Roman"/>
                <w:color w:val="464C55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2"/>
        <w:spacing w:before="0" w:after="0"/>
        <w:ind w:firstLine="709"/>
        <w:jc w:val="both"/>
        <w:rPr>
          <w:rStyle w:val="Style20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2"/>
        <w:spacing w:before="0" w:after="0"/>
        <w:ind w:firstLine="709"/>
        <w:jc w:val="both"/>
        <w:rPr>
          <w:rStyle w:val="Style20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Style20"/>
          <w:rFonts w:ascii="Times New Roman" w:hAnsi="Times New Roman"/>
          <w:b w:val="false"/>
          <w:sz w:val="24"/>
          <w:szCs w:val="24"/>
        </w:rPr>
        <w:t xml:space="preserve">1.1.2. Перечень профессиональных компетенций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4"/>
        <w:gridCol w:w="8366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Style20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Style20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20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yle20"/>
                <w:rFonts w:ascii="Times New Roman" w:hAnsi="Times New Roman"/>
                <w:b w:val="false"/>
                <w:sz w:val="24"/>
                <w:szCs w:val="24"/>
              </w:rPr>
              <w:t>ВД 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20"/>
                <w:rFonts w:ascii="Times New Roman" w:hAnsi="Times New Roman"/>
                <w:b w:val="false"/>
                <w:b w:val="false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  <w:shd w:fill="FFFFFF" w:val="clear"/>
              </w:rPr>
              <w:t>Определение стоимости недвижимого имущества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 4.1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 4.2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 4.3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 4</w:t>
            </w:r>
            <w:r>
              <w:rPr>
                <w:rFonts w:eastAsia="" w:ascii="Times New Roman" w:hAnsi="Times New Roman" w:eastAsiaTheme="minorEastAsia"/>
                <w:bCs/>
                <w:sz w:val="24"/>
                <w:szCs w:val="28"/>
              </w:rPr>
              <w:t>.4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ПК4.5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Классифицировать здания и сооружения в соответствии с принятой типологией.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ПК4.6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8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37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color w:val="22272F"/>
                <w:shd w:fill="FFFFFF" w:val="clear"/>
              </w:rPr>
              <w:t>- оценки недвижимого имущества;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оформлять договор с заказчиком и задание на оценку объекта оценки;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собирать необходимую и достаточную информацию об объекте оценки и аналогичных объектах;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производить расчеты на основе приемлемых подходов и методов оценки недвижимого имущества;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обобщать результаты, полученные подходами, и делать вывод об итоговой величине стоимости объекта оценки;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подготавливать отчет об оценке и сдавать его заказчику;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определять стоимость воспроизводства (замещения) объекта оценки;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>
            <w:pPr>
              <w:pStyle w:val="Normal"/>
              <w:spacing w:lineRule="auto" w:line="240" w:before="0" w:after="0"/>
              <w:ind w:firstLine="709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механизм регулирования оценочной деятельности;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признаки, классификацию недвижимости, а также виды стоимости применительно к оценке недвижимого имущества;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права собственности на недвижимость;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принципы оценки недвижимости, факторы, влияющие на ее стоимость;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рынки недвижимого имущества, их классификацию, структуру, особенности рынков земли;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подходы и методы, применяемые к оценке недвижимого имущества;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типологию объектов оценки;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проектно-сметное дело;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инвестиционной привлекательности объектов оценки;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права и обязанности оценщика, саморегулируемых организаций оценщиков.</w:t>
            </w:r>
          </w:p>
          <w:p>
            <w:pPr>
              <w:pStyle w:val="Normal"/>
              <w:spacing w:lineRule="auto" w:line="240" w:before="0" w:after="0"/>
              <w:ind w:firstLine="709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- 297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форме практической подготовки – 72 часа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на освоение МДК – 225 часов,</w:t>
      </w:r>
    </w:p>
    <w:p>
      <w:pPr>
        <w:pStyle w:val="Normal"/>
        <w:spacing w:before="0" w:after="0"/>
        <w:ind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>- 75 часов,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практики, в том числе учебная – 36 часов,</w:t>
      </w:r>
    </w:p>
    <w:p>
      <w:pPr>
        <w:pStyle w:val="Normal"/>
        <w:spacing w:before="0"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– 36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bookmarkStart w:id="6" w:name="_Hlk511591667"/>
      <w:r>
        <w:rPr>
          <w:rFonts w:ascii="Times New Roman" w:hAnsi="Times New Roman"/>
          <w:i/>
          <w:sz w:val="24"/>
          <w:szCs w:val="24"/>
        </w:rPr>
        <w:t xml:space="preserve">Промежуточная аттестация – </w:t>
      </w:r>
      <w:bookmarkEnd w:id="6"/>
      <w:r>
        <w:rPr>
          <w:rFonts w:ascii="Times New Roman" w:hAnsi="Times New Roman"/>
          <w:i/>
          <w:sz w:val="24"/>
          <w:szCs w:val="24"/>
        </w:rPr>
        <w:t xml:space="preserve"> экзамен</w:t>
      </w:r>
      <w:r>
        <w:rPr>
          <w:rFonts w:ascii="Times New Roman" w:hAnsi="Times New Roman"/>
          <w:bCs/>
          <w:i/>
          <w:sz w:val="24"/>
          <w:szCs w:val="24"/>
        </w:rPr>
        <w:t>. – 6 час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sectPr>
          <w:footerReference w:type="default" r:id="rId4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bookmarkStart w:id="7" w:name="_Toc283886692"/>
      <w:bookmarkStart w:id="8" w:name="_Toc283884242"/>
      <w:bookmarkStart w:id="9" w:name="_Toc283886692"/>
      <w:bookmarkStart w:id="10" w:name="_Toc283884242"/>
      <w:bookmarkEnd w:id="9"/>
      <w:bookmarkEnd w:id="10"/>
    </w:p>
    <w:p>
      <w:pPr>
        <w:pStyle w:val="1"/>
        <w:ind w:hanging="0"/>
        <w:rPr>
          <w:b/>
          <w:b/>
          <w:bCs/>
          <w:iCs/>
          <w:caps/>
          <w:sz w:val="28"/>
        </w:rPr>
      </w:pPr>
      <w:r>
        <w:rPr>
          <w:b/>
          <w:bCs/>
          <w:iCs/>
          <w:caps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14"/>
        <w:gridCol w:w="2921"/>
        <w:gridCol w:w="836"/>
        <w:gridCol w:w="556"/>
        <w:gridCol w:w="837"/>
        <w:gridCol w:w="556"/>
        <w:gridCol w:w="1114"/>
        <w:gridCol w:w="987"/>
        <w:gridCol w:w="909"/>
        <w:gridCol w:w="1730"/>
        <w:gridCol w:w="989"/>
        <w:gridCol w:w="1362"/>
      </w:tblGrid>
      <w:tr>
        <w:trPr>
          <w:trHeight w:val="353" w:hRule="atLeast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  <w:r>
              <w:rPr>
                <w:rStyle w:val="Style14"/>
                <w:rFonts w:ascii="Times New Roman" w:hAnsi="Times New Roman"/>
                <w:i/>
              </w:rPr>
              <w:footnoteReference w:id="2"/>
            </w:r>
          </w:p>
        </w:tc>
      </w:tr>
      <w:tr>
        <w:trPr>
          <w:trHeight w:val="115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r>
              <w:rPr>
                <w:rStyle w:val="Style14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1094" w:hRule="atLeast"/>
          <w:cantSplit w:val="true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Промеут. аттест.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  <w:r>
              <w:rPr>
                <w:rStyle w:val="Style14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415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>
        <w:trPr>
          <w:trHeight w:val="846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4.1.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ОК1,2.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1,2.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 1. Методологические основы организации оценки земли и имущества.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4.2. - ПК 4.6.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2,3,18 - 21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Организация оценки земли и имущества.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>
        <w:trPr>
          <w:trHeight w:val="556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4.6.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2,3,18 - 21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Раздел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iCs/>
                <w:shd w:fill="FFFFFF" w:val="clear"/>
              </w:rPr>
              <w:t>Экспертиза отчета об оценке объекта оценки.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>
        <w:trPr>
          <w:trHeight w:val="816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Производственная практика, по профилю специальности,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ascii="Times New Roman" w:hAnsi="Times New Roman"/>
                <w:bCs/>
              </w:rPr>
              <w:t>преддипломная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C00000"/>
              </w:rPr>
            </w:pPr>
            <w:r>
              <w:rPr>
                <w:rFonts w:ascii="Times New Roman" w:hAnsi="Times New Roman"/>
                <w:i/>
                <w:color w:val="C0000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tbl>
      <w:tblPr>
        <w:tblStyle w:val="14"/>
        <w:tblW w:w="1548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424"/>
        <w:gridCol w:w="12082"/>
        <w:gridCol w:w="886"/>
      </w:tblGrid>
      <w:tr>
        <w:trPr/>
        <w:tc>
          <w:tcPr>
            <w:tcW w:w="25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2082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 учебного материала,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8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Объем в часах</w:t>
            </w:r>
          </w:p>
        </w:tc>
      </w:tr>
      <w:tr>
        <w:trPr/>
        <w:tc>
          <w:tcPr>
            <w:tcW w:w="251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</w:p>
        </w:tc>
      </w:tr>
      <w:tr>
        <w:trPr/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Раздел 1. Методологические основы организации оценки земли и имущества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МДК .04.01. «Оценка недвижимого имущества»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05" w:hRule="atLeast"/>
        </w:trPr>
        <w:tc>
          <w:tcPr>
            <w:tcW w:w="2517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1.1. Понятие оценочной деятельности</w:t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572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1.1.1. Понятие и сущность оценочной деятельности. Структура рынка недвижимости. </w:t>
            </w: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Теории, методы, технология оценки недвижимости. Денежные потоки.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47" w:hRule="atLeast"/>
        </w:trPr>
        <w:tc>
          <w:tcPr>
            <w:tcW w:w="2517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1.2.  Субъекты оценочной деятельности. Объекты оценки</w:t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>
          <w:trHeight w:val="546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1.2.1. Субъекты оценочной деятельности: оценщики и заказчики.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1.2.2.Объекты оценки и их классификация. Виды вещных прав и их сущность.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Практическое занятие: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 Классификация объектов оценки по составу имущества и классификация объектов оценки по  праву собственности.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29" w:hRule="atLeast"/>
        </w:trPr>
        <w:tc>
          <w:tcPr>
            <w:tcW w:w="2517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1.3.  Регулирование оценочной деятельности</w:t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235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1.3.1. Государственное регулирование оценочной деятельности.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458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 Анализ структуры  государственно-общественного регулирования оце</w:t>
              <w:softHyphen/>
              <w:t>ночной деятельности.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76" w:hRule="atLeast"/>
        </w:trPr>
        <w:tc>
          <w:tcPr>
            <w:tcW w:w="2517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1.4.Основания для осуществления оценочных работ.</w:t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746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1.4.1.Требования Федерального закона «Об оценочной деятельности в Российской Федерации». Требования законодательства РФ к договору на проведение оценки объекта оценки. Типовая структура задания на оценку объекта оценки.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410" w:hRule="atLeast"/>
        </w:trPr>
        <w:tc>
          <w:tcPr>
            <w:tcW w:w="2517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0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Практическое занятие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3.Составление задания на проведение оценки объекта.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843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Самостоятельная работа при изучении раздела 1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1417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Тематика внеаудиторной самостоятельной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Изучение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нормативных документов и законодательных актов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284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Гражданский кодекс РФ.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284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Земельный кодекс РФ.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284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Налоговый кодекс РФ.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284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Лесной кодекс РФ.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284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Федеральный закон «Об оценочной деятельности в РФ» от 29.07.98 №135-Ф3.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284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«Стандарты оценки, обязательные к применению субъектам оце</w:t>
              <w:softHyphen/>
              <w:t>ночной деятельности», утвержденные постановлением Правительст</w:t>
              <w:softHyphen/>
              <w:t>ва РФ от 06.07.2001 №519.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81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Учебная практика: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Изучение процесса оценки: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-Этапы процесса оценки, определенные Федеральными стандартами оценки; технология процесса оценки;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-организация процесса оценки; способы сбора и обработки информации, обеспечивающие процесс оценки;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-методика экспертизы состояния объекта оценки; подходы и методы оценки; согласование результатов оценки и вывод об итоговой величине стоимости объекта оценки; 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128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Раздел 2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Организация оценки земли и имущества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112</w:t>
            </w:r>
          </w:p>
        </w:tc>
      </w:tr>
      <w:tr>
        <w:trPr>
          <w:trHeight w:val="288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Заключение договора об оценке.</w:t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716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2.1.1. Договор об оценке между оценщиком и заказчиком. Обязательные тре</w:t>
              <w:softHyphen/>
              <w:t xml:space="preserve">бования к договору в соответствии с положениями Федерального закона «Об оценочной деятельности».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45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2.2. Количественные и качественные характеристики объекта оценки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>
          <w:trHeight w:val="415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2.2.1.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Количественные и качественные характеристики объекта оценки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2.2.2.Классификация объекта оценки по функциональному  на</w:t>
              <w:softHyphen/>
              <w:t>значению.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441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Практическое занятие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4.Сбор информации и описание  объекта оцен</w:t>
              <w:softHyphen/>
              <w:t>ки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195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2.3. Последователь-ность основных этапов оценочных работ.</w:t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497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2.3.1.Основные этапы оценки.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2.3.2.Последовательность действий, выполняемых в ходе определения стоимости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157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2.4. Постановка (определение) задачи оценки.</w:t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8</w:t>
            </w:r>
          </w:p>
        </w:tc>
      </w:tr>
      <w:tr>
        <w:trPr>
          <w:trHeight w:val="249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2.4.1.  Постановка (определение) задачи оценки.  Соответствие цели виду оценки.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5.Идентификация объекта оценки.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6.Определение  состава оценочных прав.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7.Решение задач  по определению  цели и базы оценки, вида стоимости.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2.5.  Обследование объекта оценки и планирование оценочных работ</w:t>
            </w:r>
          </w:p>
        </w:tc>
        <w:tc>
          <w:tcPr>
            <w:tcW w:w="125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8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2.5.1. Обследование объекта оценки и планирование оценочных работ.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1032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8.Проведение  обследования объекта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9.По данным задач классификация объектов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10.Составление  плана оценочных работ.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2.6.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Сбор, подготовка и проверка информации для оценки</w:t>
            </w:r>
          </w:p>
        </w:tc>
        <w:tc>
          <w:tcPr>
            <w:tcW w:w="125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2.6.1.Сбор, подготовка и проверка информации для оценки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11. Сбор информации, необходимой для оценки объекта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12.Решение задач по определению необходимого и достаточного уровня и объема информации о конкретном  объекте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Обработка полученных данных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/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2.7.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Анализ рынка, к которому относится объект оценки</w:t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>
          <w:trHeight w:val="185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2.7.1. Рынок недвижимости, его структура. Анализ рынка, к которому относится объект оценки.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821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13.Классификация рынка недвижимости по основным признакам: стоимо</w:t>
              <w:softHyphen/>
              <w:t>сти, использованию, праву собственности.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14. Решение задач по определению  вида деятельности участников рынка, распределение  функций между участниками рынка.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155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2.8.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 xml:space="preserve">Определение наилучшего и наиболее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эффективного исполь</w:t>
              <w:softHyphen/>
              <w:t>зования</w:t>
            </w:r>
          </w:p>
        </w:tc>
        <w:tc>
          <w:tcPr>
            <w:tcW w:w="125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>
          <w:trHeight w:val="457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2.8.1.Необходимость анализа наилучшего и наиболее эффективного исполь</w:t>
              <w:softHyphen/>
              <w:t xml:space="preserve">зования (ННЭИ).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Определение наилучшего и наиболее эффективного использо</w:t>
              <w:softHyphen/>
              <w:t>вания объекта оценки.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947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15.По данным задач определение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варианта наилучшего и наиболее эффективного использо</w:t>
              <w:softHyphen/>
              <w:t>вания нежилого помещения.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16.По данным задач определение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варианта наилучшего и наиболее эффективного использо</w:t>
              <w:softHyphen/>
              <w:t>вания жилого помещения.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2.9.  Применение различных подходов к оценке объекта оценки.</w:t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2.9.1.Сравнительный подход. Методы оценки, применяемые в рамках сравнительного подхода. Условия, при которых целесообразно использовать сравнительный подход.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2.9.2.Доходный подход. Методы оценки, применяемые в рамках доходного подхода.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2.9.3.Затратный подход. Методы оценки, применяемые в рамках затратного подхода. 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814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17-18.По данным задач определение  стоимости объекта оценки различными методами сравнительного подхода.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19-20. По данным задач определение  стоимости объекта оценки различными методами доходного  подхода.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21-22. По данным задач определение  стоимости объекта оценки методом затратного подхода.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23.Определение  стоимости объекта оценки на основе анализа данных по каждому подходу.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17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2.10.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Оценка земельного участка</w:t>
            </w:r>
          </w:p>
        </w:tc>
        <w:tc>
          <w:tcPr>
            <w:tcW w:w="125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14</w:t>
            </w:r>
          </w:p>
        </w:tc>
      </w:tr>
      <w:tr>
        <w:trPr>
          <w:trHeight w:val="575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2.10.1. Основные факторы, влияющие на рыночную стоимость земли; анализ спроса и предложения на рынке земельных участков. Анализ наилучшего и наиболее эффективного использования участка земли для его оценки.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/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24-25.Решение задач по оценке земельного участка методом сравнения продаж.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26. Решение задач по оценке земельного участка методом выделения.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27.Решение задач по оценке земельного участка методом распределения.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28.Решение задач по оценке земельного участка методом земельной ренты.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29.Решение задач по оценке земельного участка методом остатка.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2.11.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Обобщение результатов и определение итоговой величины стоимости объекта оценки</w:t>
            </w:r>
          </w:p>
        </w:tc>
        <w:tc>
          <w:tcPr>
            <w:tcW w:w="125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2.11.1. Обобщение результатов. Сопоставление результатов, полученных тре</w:t>
              <w:softHyphen/>
              <w:t>мя традиционными подходами к оценке. Определение весовых коэффициентов значений каждого подхода. Применение для расчета метода математического взвешивания, метода субъ</w:t>
              <w:softHyphen/>
              <w:t>ективного взвешивания, метода анализа иерархий.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1006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30.Проведение анализа расчетных данных об оценке объекта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31.Определение итоговой величины стоимости объекта оценки.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2.12.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Отчет об оценке объекта оценки</w:t>
            </w:r>
          </w:p>
        </w:tc>
        <w:tc>
          <w:tcPr>
            <w:tcW w:w="125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2.12.1. Виды отчетов.  Требования ФЗ «Об оценочной деятельности в РФ» к составу отчета об оценке объекта оценки. Информация об использовавшейся нормативной базе, стандартах оцен</w:t>
              <w:softHyphen/>
              <w:t xml:space="preserve">ки, допущениях и ограничениях. 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>
        <w:trPr>
          <w:trHeight w:val="772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32.На основании полученного задания составить отчет об оценке объекта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33. Привести перечень данных, которые должны содержаться в отчете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27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Лабораторные работы: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Классификация объектов недвижимости.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Выбор источников информации для выполнения оценки объекта недвижимости, сбор информации об объекте оценки.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Анализ рынка недвижимости  по району, региону.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Выбор наилучшего, наиболее эффективного использования оцениваемого объекта недвижимости.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Описание объекта оценки и подготовка задания на оценку.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Выбор подходов и методов, которые будут использованы при оценке выбранного объекта.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Расчет рыночной стоимости объекта оценки сравнительным подходом.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Расчет рыночной стоимости объекта оценки доходным  подходом.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Расчет рыночной стоимости объекта оценки доходным  подходом.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Расчет рыночной стоимости объекта оценки затратным  подходом.2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Самостоятельная работа при изучении раздела 2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53</w:t>
            </w:r>
          </w:p>
        </w:tc>
      </w:tr>
      <w:tr>
        <w:trPr>
          <w:trHeight w:val="1113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 Для закрепления знаний работа с конспектами лекций по темам: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Понятие оценочной деятельности;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Субъекты оценочной деятельности. Объекты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Регулирование оценочной деятельности;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Основания для осуществления оценочных работ;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Количественные и качественные характеристики объекта оценки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Последовательность основных этапов оценочных работ;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Обследование объекта оценки и планирование оценочных работ;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Сбор, подготовка и проверка информации для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Анализ рынка, к которому относится объект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Определение наилучшего и наиболее эффективного использо</w:t>
              <w:softHyphen/>
              <w:t>вания объекта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Применение различных подходов к оценке объекта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Оценка земельного участка;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Обобщение результатов и определение итоговой величины стоимости объекта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Отчет об оценке объекта оценки;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iCs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Содержание и организация проведения экспертизы отчета об оценке объекта оценки;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2.Классификация объектов оценки по составу имущества и виду вещ</w:t>
              <w:softHyphen/>
              <w:t xml:space="preserve">ного права.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3.Изучение системы государственного и общественного регулирова</w:t>
              <w:softHyphen/>
              <w:t xml:space="preserve">ния оценочной деятельности.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4.Составление договора и задания на оценку различных объектов.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5.Техническое обследование различных объектов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6.Установление источников и объема данных, необходимых для оцен</w:t>
              <w:softHyphen/>
              <w:t>ки различных объектов.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7.Анализ наилучшего и наиболее эффективного использования раз</w:t>
              <w:softHyphen/>
              <w:t>личных объектов: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незастроенного земельного участка;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здания.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8.Проведение сравнительного анализа по результатам применения трех методов оценки.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9.Анализ достоверности и согласованности результатов оценки раз</w:t>
              <w:softHyphen/>
              <w:t>личными подходами с использованием математических методов.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10.Подготовка отчета об оценке различных объектов.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11. Составление плана организации работ по массовой оценке объектов для определенных целей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429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Учебная практика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20</w:t>
            </w:r>
          </w:p>
        </w:tc>
      </w:tr>
      <w:tr>
        <w:trPr>
          <w:trHeight w:val="429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- Анализ рынка недвижимости и подбор объектов-аналогов.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- Выполнение расчетов по определению рыночной стоимости объекта недвижимого имущества тремя подходами: затратным, сравнительным и доходным.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>- Составление отчета об оценке объекта недвижимого имущества.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07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Экспертиза отчета об оценке объекта оценки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22</w:t>
            </w:r>
          </w:p>
        </w:tc>
      </w:tr>
      <w:tr>
        <w:trPr>
          <w:trHeight w:val="257" w:hRule="atLeast"/>
        </w:trPr>
        <w:tc>
          <w:tcPr>
            <w:tcW w:w="20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3.1.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Содержание и организация проведения экспертизы отчета об оценке объекта оценки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.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ind w:left="3240" w:hanging="0"/>
              <w:jc w:val="both"/>
              <w:outlineLvl w:val="0"/>
              <w:rPr>
                <w:rFonts w:ascii="Times New Roman" w:hAnsi="Times New Roman" w:eastAsia="Calibri"/>
                <w:b/>
                <w:b/>
                <w:bCs/>
                <w:iCs/>
              </w:rPr>
            </w:pPr>
            <w:bookmarkStart w:id="11" w:name="bookmark19"/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оце</w:t>
            </w:r>
            <w:bookmarkEnd w:id="11"/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  <w:lang w:val="en-US"/>
              </w:rPr>
              <w:t>2</w:t>
            </w:r>
          </w:p>
        </w:tc>
      </w:tr>
      <w:tr>
        <w:trPr>
          <w:trHeight w:val="1551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3.1.1. Совокупность мероприятий по проверке соблюдения оценщиком тре</w:t>
              <w:softHyphen/>
              <w:t>бований законодательства и правильности по</w:t>
              <w:softHyphen/>
              <w:t>лученных выводов.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3.1.2.Пути разрешения спо</w:t>
              <w:softHyphen/>
              <w:t>ров в суде, арбитражном суде, третейском суде.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3.1.3. Организация экспертизы.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3.1.4.Полномочия саморегулируемых организаций и уполномоченного органа в проведении экспертизы. Состав документации по результатам экспертизы оценки.</w:t>
            </w:r>
          </w:p>
        </w:tc>
        <w:tc>
          <w:tcPr>
            <w:tcW w:w="8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20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  <w:tc>
          <w:tcPr>
            <w:tcW w:w="125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Практическое задание: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34-35.На основании полученного задания составление  типового  протокола  экс</w:t>
              <w:softHyphen/>
              <w:t>пертизы объекта оценки.</w:t>
            </w:r>
          </w:p>
        </w:tc>
        <w:tc>
          <w:tcPr>
            <w:tcW w:w="8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89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Лабораторные работы: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14599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Расчет рыночной стоимости объекта оценки затратным  подходом.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Расчет степени износа оцениваемого объекта недвижимости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Методы оценки, используемые для оценки земли.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Согласование итоговой стоимости оцениваемого объекта недвижимости.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Выполнение графиков и диаграмм.  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70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Самостоятельная работа при изучении раздела 3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Тематика внеаудиторной самостоятельной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1.Составление типового протокола  экс</w:t>
              <w:softHyphen/>
              <w:t>пертизы объекта оценки на основании полученного задания.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spacing w:lineRule="auto" w:line="240" w:before="0" w:after="0"/>
              <w:ind w:right="100" w:hanging="0"/>
              <w:jc w:val="both"/>
              <w:rPr>
                <w:rFonts w:ascii="Times New Roman" w:hAnsi="Times New Roman" w:eastAsia="Arial Unicode MS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Учебная практика: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spacing w:lineRule="auto" w:line="240" w:before="0" w:after="0"/>
              <w:ind w:right="10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- определение итоговой стоимости оцениваемого объекта недвижимости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spacing w:lineRule="auto" w:line="240" w:before="0" w:after="0"/>
              <w:ind w:right="10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- составление  типового  протокола  экс</w:t>
              <w:softHyphen/>
              <w:t>пертизы объекта оценки.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spacing w:lineRule="auto" w:line="240" w:before="0" w:after="0"/>
              <w:ind w:right="100" w:hanging="0"/>
              <w:jc w:val="both"/>
              <w:rPr>
                <w:rFonts w:ascii="Times New Roman" w:hAnsi="Times New Roman" w:eastAsia="Arial Unicode MS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- Подготовка документации по результатам экспертизы оценки.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74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spacing w:lineRule="auto" w:line="240" w:before="0" w:after="0"/>
              <w:ind w:right="100" w:hanging="0"/>
              <w:jc w:val="both"/>
              <w:rPr>
                <w:rFonts w:ascii="Times New Roman" w:hAnsi="Times New Roman" w:eastAsia="Arial Unicode MS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Производственная практика;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36</w:t>
            </w:r>
          </w:p>
        </w:tc>
      </w:tr>
      <w:tr>
        <w:trPr>
          <w:trHeight w:val="274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 xml:space="preserve">- Анализ рынка недвижимости и подбор объектов-аналогов.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>- Сбор информации по объекту оценки,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>- Выполнение расчетов по определению рыночной стоимости объекта недвижимого имущества сравнительным подходом,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>- Выполнение расчетов по определению рыночной стоимости объекта недвижимого имущества доходным подходом,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>- Выполнение расчетов по определению рыночной стоимости объекта недвижимого имущества затратным подходом ,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spacing w:lineRule="auto" w:line="240" w:before="0" w:after="0"/>
              <w:ind w:right="100" w:hanging="0"/>
              <w:jc w:val="both"/>
              <w:rPr>
                <w:rFonts w:ascii="Times New Roman" w:hAnsi="Times New Roman" w:eastAsia="Arial Unicode MS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4"/>
                <w:szCs w:val="28"/>
                <w:highlight w:val="white"/>
              </w:rPr>
              <w:t>- Составление отчета об оценке объекта недвижимого имущества.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1459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 С Е  Г О: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297</w:t>
            </w:r>
            <w:bookmarkStart w:id="12" w:name="_Toc283886693"/>
            <w:bookmarkStart w:id="13" w:name="_Toc283884243"/>
            <w:bookmarkEnd w:id="12"/>
            <w:bookmarkEnd w:id="13"/>
          </w:p>
        </w:tc>
      </w:tr>
    </w:tbl>
    <w:p>
      <w:pPr>
        <w:sectPr>
          <w:footerReference w:type="default" r:id="rId5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  <w:br/>
        <w:t>ПРОФЕССИОНАЛЬНОГО МОДУЛЯ</w:t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столы ученические – 24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стулья – 48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стол учительский – 1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доска – 1 шт.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компьютеры – 10 шт.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видеопроектор – 1шт.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Методическими материалами: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  <w:vertAlign w:val="subscript"/>
        </w:rPr>
      </w:pPr>
      <w:r>
        <w:rPr>
          <w:rFonts w:eastAsia="" w:ascii="Times New Roman" w:hAnsi="Times New Roman" w:eastAsiaTheme="minorEastAsia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-комплект учебно-методической документации;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 комплект оценочных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eastAsiaTheme="minorEastAsia"/>
          <w:sz w:val="24"/>
          <w:szCs w:val="28"/>
        </w:rPr>
      </w:pPr>
      <w:r>
        <w:rPr>
          <w:rFonts w:eastAsia="" w:ascii="Times New Roman" w:hAnsi="Times New Roman" w:eastAsiaTheme="minorEastAsia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>
      <w:pPr>
        <w:pStyle w:val="Normal"/>
        <w:spacing w:lineRule="auto" w:line="240" w:before="0" w:after="0"/>
        <w:rPr>
          <w:rFonts w:ascii="Times New Roman" w:hAnsi="Times New Roman" w:eastAsia="" w:eastAsiaTheme="minorEastAsia"/>
          <w:bCs/>
          <w:sz w:val="24"/>
          <w:szCs w:val="24"/>
        </w:rPr>
      </w:pPr>
      <w:r>
        <w:rPr>
          <w:rFonts w:eastAsia="" w:ascii="Times New Roman" w:hAnsi="Times New Roman" w:eastAsiaTheme="minorEastAsia"/>
          <w:bCs/>
          <w:sz w:val="24"/>
          <w:szCs w:val="24"/>
        </w:rPr>
        <w:t>Нормативные акты: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1. Гражданский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2. Земельный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3. Налоговый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4. Федеральный закон «Об оценочной деятельности в РФ» от 29.07.98 №135-Ф3.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5.«Стандарты оценки, обязательные к применению субъектам оце</w:t>
        <w:softHyphen/>
        <w:t>ночной деятельности», утвержденные постановлением Правительст</w:t>
        <w:softHyphen/>
        <w:t>ва РФ от 06.07.2001 № 519.</w:t>
      </w:r>
    </w:p>
    <w:p>
      <w:pPr>
        <w:pStyle w:val="Normal"/>
        <w:spacing w:lineRule="auto" w:line="240" w:before="0" w:after="0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Основная литература: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6.Мурзин А.Д.   Недвижимость: основы экономики, оценки и кадастра, учебное пособие, «Феникс», 2017 г.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7.А.А. Варламов. Оценка объектов недвижимости, учебник , 2017г.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8.В.А. Слюсаренко, Определение стоимости недвижимого имущества, учебник, М.,2017г.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 xml:space="preserve">9. Иванов Е.Н. Оценка стоимости недвижимости, учебное пособие, 2018 г.. 10.Севостьянов А.В, Экономическая оценка недвижимости и инвестиций,   учебник, 2018г.             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11. Иванова Е.Н, Оценка стоимости недвижимости, электр. учебник, 2019 г.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12. Кожухар В.М. Основы управления недвижимостью,  практикум, М., 2017 г.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ascii="Times New Roman" w:hAnsi="Times New Roman" w:eastAsiaTheme="minorEastAsia"/>
          <w:sz w:val="24"/>
          <w:szCs w:val="24"/>
        </w:rPr>
        <w:t>13. Фокин С.В., Земельно-имущественные отношения, учеб. пособие, М., 2018 г.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eastAsia="" w:eastAsiaTheme="minorEastAsia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hyperlink r:id="rId6" w:tgtFrame="_blank">
        <w:r>
          <w:rPr>
            <w:rFonts w:cs="Times New Roman" w:ascii="Times New Roman" w:hAnsi="Times New Roman"/>
            <w:b/>
            <w:bCs/>
            <w:color w:val="auto"/>
            <w:sz w:val="24"/>
            <w:szCs w:val="24"/>
            <w:lang w:val="en-US"/>
          </w:rPr>
          <w:t>egrnreester</w:t>
        </w:r>
        <w:r>
          <w:rPr>
            <w:rFonts w:cs="Times New Roman" w:ascii="Times New Roman" w:hAnsi="Times New Roman"/>
            <w:b/>
            <w:bCs/>
            <w:color w:val="auto"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›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articles</w:t>
        </w:r>
        <w:r>
          <w:rPr>
            <w:rFonts w:cs="Times New Roman" w:ascii="Times New Roman" w:hAnsi="Times New Roman"/>
            <w:color w:val="auto"/>
            <w:sz w:val="24"/>
            <w:szCs w:val="24"/>
          </w:rPr>
          <w:t>/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kak</w:t>
        </w:r>
        <w:r>
          <w:rPr>
            <w:rFonts w:cs="Times New Roman" w:ascii="Times New Roman" w:hAnsi="Times New Roman"/>
            <w:color w:val="auto"/>
            <w:sz w:val="24"/>
            <w:szCs w:val="24"/>
          </w:rPr>
          <w:t>…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obekta</w:t>
        </w:r>
        <w:r>
          <w:rPr>
            <w:rFonts w:cs="Times New Roman" w:ascii="Times New Roman" w:hAnsi="Times New Roman"/>
            <w:color w:val="auto"/>
            <w:sz w:val="24"/>
            <w:szCs w:val="24"/>
          </w:rPr>
          <w:t xml:space="preserve"> - </w:t>
        </w:r>
        <w:r>
          <w:rPr>
            <w:rFonts w:cs="Times New Roman" w:ascii="Times New Roman" w:hAnsi="Times New Roman"/>
            <w:color w:val="auto"/>
            <w:sz w:val="24"/>
            <w:szCs w:val="24"/>
            <w:lang w:val="en-US"/>
          </w:rPr>
          <w:t>nedvizhimosti</w:t>
        </w:r>
      </w:hyperlink>
    </w:p>
    <w:p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2.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nalog.gov.ru</w:t>
      </w:r>
      <w:r>
        <w:rPr>
          <w:rStyle w:val="Pathseparator"/>
          <w:rFonts w:cs="Times New Roman" w:ascii="Times New Roman" w:hAnsi="Times New Roman"/>
          <w:sz w:val="24"/>
          <w:szCs w:val="24"/>
          <w:lang w:val="en-US"/>
        </w:rPr>
        <w:t>›</w:t>
      </w:r>
      <w:r>
        <w:rPr>
          <w:rFonts w:cs="Times New Roman" w:ascii="Times New Roman" w:hAnsi="Times New Roman"/>
          <w:sz w:val="24"/>
          <w:szCs w:val="24"/>
          <w:lang w:val="en-US"/>
        </w:rPr>
        <w:t>rn77/taxation/taxes / imuch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Cs/>
          <w:sz w:val="24"/>
          <w:szCs w:val="24"/>
        </w:rPr>
        <w:t>Интернет портал ЦИАН. Недвижимость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 Интернет портал NEWSru.com. Недвижимость.</w:t>
      </w:r>
    </w:p>
    <w:p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5.Интернет портал Mian. Ru. МИАН- агентство недвижимости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1"/>
        <w:suppressAutoHyphens w:val="true"/>
        <w:ind w:firstLine="709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hanging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eastAsiaTheme="minorEastAsia"/>
          <w:b/>
          <w:b/>
          <w:bCs/>
          <w:sz w:val="28"/>
          <w:szCs w:val="28"/>
        </w:rPr>
      </w:pPr>
      <w:r>
        <w:rPr>
          <w:rFonts w:eastAsia="" w:eastAsiaTheme="minorEastAsia" w:ascii="Times New Roman" w:hAnsi="Times New Roman"/>
          <w:b/>
          <w:bCs/>
          <w:sz w:val="28"/>
          <w:szCs w:val="28"/>
        </w:rPr>
      </w:r>
    </w:p>
    <w:tbl>
      <w:tblPr>
        <w:tblW w:w="48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06"/>
        <w:gridCol w:w="5506"/>
        <w:gridCol w:w="1937"/>
      </w:tblGrid>
      <w:tr>
        <w:trPr>
          <w:trHeight w:val="1398" w:hRule="atLeast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>
        <w:trPr/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1156" w:hRule="atLeast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4.1.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Знать механизм регулирования оценочной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права собственности на недвижимость;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Оформление договора с заказчиком и задания на оценку объекта оценки;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Беседа, фронтальный и    индивидуальный опрос,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практические работы,</w:t>
            </w:r>
          </w:p>
          <w:p>
            <w:pPr>
              <w:pStyle w:val="Normal"/>
              <w:spacing w:lineRule="auto" w:line="240" w:before="0" w:after="0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spacing w:lineRule="auto" w:line="240" w:before="0" w:after="0"/>
              <w:ind w:left="33" w:hanging="33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spacing w:lineRule="auto" w:line="240" w:before="0" w:after="0"/>
              <w:ind w:left="-324" w:firstLine="32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контроль:</w:t>
            </w:r>
          </w:p>
          <w:p>
            <w:pPr>
              <w:pStyle w:val="Normal"/>
              <w:spacing w:lineRule="auto" w:line="240" w:before="0" w:after="0"/>
              <w:ind w:left="34" w:hanging="34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экзамен по профес-сиональному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модулю.</w:t>
            </w:r>
          </w:p>
        </w:tc>
      </w:tr>
      <w:tr>
        <w:trPr/>
        <w:tc>
          <w:tcPr>
            <w:tcW w:w="2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Знать признаки, классификацию недвижимости, а также виды стоимости применительно к оценке недвижимого имущества;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Осуществление сбора и обработки необходимой и достаточной информации об объекте оценки и аналогичных объектах.</w:t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4.2.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3 – ОК 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принципы оценки недвижимости, факторы, влияющие на ее стоимость;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рынки недвижимого имущества, их классификацию, структуру, особенности рынков земли;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подходы и методы, применяемые к оценке недвижимого имущества;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типологию объектов оценки;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Произведение расчетов на основе приемлемых подходов и методов оценки недвижимого имущества;</w:t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4.3.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ОК5, ОК 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3, ЛР 18 – 21.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проектно-сметное дело;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Обобщение результатов, полученных подходов, и получение выводов об итоговой величине стоимости объекта оценки;</w:t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4.4, ПК 4.5.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ОК7 – ОК 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ЛР 20, ЛР 21.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Знать показатели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инвестиционной привлекательности объектов оценки;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Определение стоимости воспроизводства (замещения) объекта оценки;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Руководство при оценке  недвижимости Федеральным законом «Об оценочной деятельности в Российской Федерации», федеральными стандартами оценки и стандартами оценки.</w:t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4.6.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  06 – ОК 07.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 20, ЛР 21.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права и обязанности  оценщика, саморегулируемых организаций оценщиков.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Подготовка отчетов об оценке и сдача его заказчику;</w:t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  <w:bookmarkStart w:id="14" w:name="_Toc283886696"/>
            <w:bookmarkStart w:id="15" w:name="_Toc283884245"/>
            <w:bookmarkStart w:id="16" w:name="_Toc283886696"/>
            <w:bookmarkStart w:id="17" w:name="_Toc283884245"/>
            <w:bookmarkEnd w:id="16"/>
            <w:bookmarkEnd w:id="17"/>
          </w:p>
        </w:tc>
      </w:tr>
    </w:tbl>
    <w:p>
      <w:pPr>
        <w:pStyle w:val="1"/>
        <w:ind w:hanging="0"/>
        <w:rPr>
          <w:b/>
          <w:b/>
          <w:bCs/>
          <w:sz w:val="28"/>
          <w:szCs w:val="28"/>
        </w:rPr>
      </w:pPr>
      <w:r>
        <w:rPr/>
      </w:r>
    </w:p>
    <w:sectPr>
      <w:footerReference w:type="default" r:id="rId7"/>
      <w:footnotePr>
        <w:numFmt w:val="decimal"/>
      </w:footnotePr>
      <w:type w:val="nextPage"/>
      <w:pgSz w:w="11906" w:h="16838"/>
      <w:pgMar w:left="900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3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2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8433983"/>
    </w:sdtPr>
    <w:sdtContent>
      <w:p>
        <w:pPr>
          <w:pStyle w:val="Style3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32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6177290"/>
    </w:sdtPr>
    <w:sdtContent>
      <w:p>
        <w:pPr>
          <w:pStyle w:val="Style3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32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32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jc w:val="both"/>
        <w:rPr>
          <w:highlight w:val="yellow"/>
        </w:rPr>
      </w:pPr>
      <w:r>
        <w:rPr>
          <w:rStyle w:val="Style22"/>
        </w:rPr>
        <w:footnoteRef/>
      </w:r>
      <w:r>
        <w:rPr/>
      </w:r>
    </w:p>
  </w:footnote>
  <w:footnote w:id="3">
    <w:p>
      <w:pPr>
        <w:pStyle w:val="Style30"/>
        <w:jc w:val="both"/>
        <w:rPr>
          <w:highlight w:val="yellow"/>
        </w:rPr>
      </w:pPr>
      <w:r>
        <w:rPr>
          <w:rStyle w:val="Style22"/>
        </w:rPr>
        <w:footnoteRef/>
      </w:r>
      <w:r>
        <w:rPr/>
      </w:r>
    </w:p>
  </w:footnote>
  <w:footnote w:id="4">
    <w:p>
      <w:pPr>
        <w:pStyle w:val="Style30"/>
        <w:jc w:val="both"/>
        <w:rPr>
          <w:i/>
          <w:i/>
        </w:rPr>
      </w:pPr>
      <w:r>
        <w:rPr>
          <w:rStyle w:val="Style22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 1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e4636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be4636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e463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be4636"/>
    <w:rPr>
      <w:color w:val="0000FF"/>
      <w:u w:val="single"/>
    </w:rPr>
  </w:style>
  <w:style w:type="character" w:styleId="Style13" w:customStyle="1">
    <w:name w:val="Текст сноски Знак"/>
    <w:link w:val="a6"/>
    <w:uiPriority w:val="99"/>
    <w:qFormat/>
    <w:locked/>
    <w:rsid w:val="00be4636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be4636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e4636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e4636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967b75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0c6fa7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Основной текст Знак"/>
    <w:basedOn w:val="DefaultParagraphFont"/>
    <w:link w:val="af4"/>
    <w:uiPriority w:val="99"/>
    <w:qFormat/>
    <w:rsid w:val="002361c6"/>
    <w:rPr>
      <w:rFonts w:ascii="Times New Roman" w:hAnsi="Times New Roman" w:eastAsia="Arial Unicode MS" w:cs="Times New Roman"/>
      <w:sz w:val="26"/>
      <w:szCs w:val="26"/>
      <w:shd w:fill="FFFFFF" w:val="clear"/>
      <w:lang w:eastAsia="ru-RU"/>
    </w:rPr>
  </w:style>
  <w:style w:type="character" w:styleId="10pt" w:customStyle="1">
    <w:name w:val="Основной текст + 10 pt"/>
    <w:basedOn w:val="DefaultParagraphFont"/>
    <w:uiPriority w:val="99"/>
    <w:qFormat/>
    <w:rsid w:val="002361c6"/>
    <w:rPr>
      <w:rFonts w:ascii="Times New Roman" w:hAnsi="Times New Roman" w:cs="Times New Roman"/>
      <w:spacing w:val="0"/>
      <w:sz w:val="20"/>
      <w:szCs w:val="20"/>
    </w:rPr>
  </w:style>
  <w:style w:type="character" w:styleId="8" w:customStyle="1">
    <w:name w:val="Основной текст + Полужирный8"/>
    <w:basedOn w:val="DefaultParagraphFont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3" w:customStyle="1">
    <w:name w:val="Заголовок №1_"/>
    <w:basedOn w:val="DefaultParagraphFont"/>
    <w:link w:val="110"/>
    <w:uiPriority w:val="99"/>
    <w:qFormat/>
    <w:locked/>
    <w:rsid w:val="002361c6"/>
    <w:rPr>
      <w:rFonts w:ascii="Times New Roman" w:hAnsi="Times New Roman" w:cs="Times New Roman"/>
      <w:b/>
      <w:bCs/>
      <w:i/>
      <w:iCs/>
      <w:sz w:val="26"/>
      <w:szCs w:val="26"/>
      <w:shd w:fill="FFFFFF" w:val="clear"/>
    </w:rPr>
  </w:style>
  <w:style w:type="character" w:styleId="14" w:customStyle="1">
    <w:name w:val="Заголовок №1"/>
    <w:basedOn w:val="13"/>
    <w:uiPriority w:val="99"/>
    <w:qFormat/>
    <w:rsid w:val="002361c6"/>
    <w:rPr>
      <w:rFonts w:ascii="Times New Roman" w:hAnsi="Times New Roman" w:cs="Times New Roman"/>
      <w:b/>
      <w:bCs/>
      <w:i/>
      <w:iCs/>
      <w:sz w:val="26"/>
      <w:szCs w:val="26"/>
      <w:shd w:fill="FFFFFF" w:val="clear"/>
    </w:rPr>
  </w:style>
  <w:style w:type="character" w:styleId="131" w:customStyle="1">
    <w:name w:val="Заголовок №13"/>
    <w:basedOn w:val="13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fill="FFFFFF" w:val="clear"/>
    </w:rPr>
  </w:style>
  <w:style w:type="character" w:styleId="121" w:customStyle="1">
    <w:name w:val="Заголовок №12"/>
    <w:basedOn w:val="13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fill="FFFFFF" w:val="clear"/>
    </w:rPr>
  </w:style>
  <w:style w:type="character" w:styleId="4" w:customStyle="1">
    <w:name w:val="Заголовок №4_"/>
    <w:basedOn w:val="DefaultParagraphFont"/>
    <w:link w:val="40"/>
    <w:uiPriority w:val="99"/>
    <w:qFormat/>
    <w:locked/>
    <w:rsid w:val="002361c6"/>
    <w:rPr>
      <w:rFonts w:ascii="Times New Roman" w:hAnsi="Times New Roman" w:cs="Times New Roman"/>
      <w:b/>
      <w:bCs/>
      <w:sz w:val="26"/>
      <w:szCs w:val="26"/>
      <w:shd w:fill="FFFFFF" w:val="clear"/>
    </w:rPr>
  </w:style>
  <w:style w:type="character" w:styleId="23" w:customStyle="1">
    <w:name w:val="Основной текст + Полужирный2"/>
    <w:basedOn w:val="DefaultParagraphFont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9" w:customStyle="1">
    <w:name w:val="Колонтитул_"/>
    <w:basedOn w:val="DefaultParagraphFont"/>
    <w:link w:val="af7"/>
    <w:uiPriority w:val="99"/>
    <w:qFormat/>
    <w:locked/>
    <w:rsid w:val="002361c6"/>
    <w:rPr>
      <w:rFonts w:ascii="Times New Roman" w:hAnsi="Times New Roman" w:cs="Times New Roman"/>
      <w:sz w:val="20"/>
      <w:szCs w:val="20"/>
      <w:shd w:fill="FFFFFF" w:val="clear"/>
    </w:rPr>
  </w:style>
  <w:style w:type="character" w:styleId="10" w:customStyle="1">
    <w:name w:val="Основной текст (10)_"/>
    <w:basedOn w:val="DefaultParagraphFont"/>
    <w:link w:val="101"/>
    <w:uiPriority w:val="99"/>
    <w:qFormat/>
    <w:locked/>
    <w:rsid w:val="002361c6"/>
    <w:rPr>
      <w:rFonts w:ascii="Times New Roman" w:hAnsi="Times New Roman" w:cs="Times New Roman"/>
      <w:sz w:val="21"/>
      <w:szCs w:val="21"/>
      <w:shd w:fill="FFFFFF" w:val="clear"/>
    </w:rPr>
  </w:style>
  <w:style w:type="character" w:styleId="9pt" w:customStyle="1">
    <w:name w:val="Колонтитул + 9 pt"/>
    <w:basedOn w:val="Style19"/>
    <w:uiPriority w:val="99"/>
    <w:qFormat/>
    <w:rsid w:val="002361c6"/>
    <w:rPr>
      <w:rFonts w:ascii="Times New Roman" w:hAnsi="Times New Roman" w:cs="Times New Roman"/>
      <w:b/>
      <w:bCs/>
      <w:spacing w:val="0"/>
      <w:sz w:val="18"/>
      <w:szCs w:val="18"/>
      <w:shd w:fill="FFFFFF" w:val="clear"/>
    </w:rPr>
  </w:style>
  <w:style w:type="character" w:styleId="15" w:customStyle="1">
    <w:name w:val="Текст выноски Знак1"/>
    <w:basedOn w:val="DefaultParagraphFont"/>
    <w:uiPriority w:val="99"/>
    <w:semiHidden/>
    <w:qFormat/>
    <w:rsid w:val="002361c6"/>
    <w:rPr>
      <w:rFonts w:ascii="Tahoma" w:hAnsi="Tahoma" w:cs="Tahoma"/>
      <w:sz w:val="16"/>
      <w:szCs w:val="16"/>
    </w:rPr>
  </w:style>
  <w:style w:type="character" w:styleId="16" w:customStyle="1">
    <w:name w:val="Нижний колонтитул Знак1"/>
    <w:basedOn w:val="DefaultParagraphFont"/>
    <w:uiPriority w:val="99"/>
    <w:semiHidden/>
    <w:qFormat/>
    <w:rsid w:val="002361c6"/>
    <w:rPr/>
  </w:style>
  <w:style w:type="character" w:styleId="17" w:customStyle="1">
    <w:name w:val="Верхний колонтитул Знак1"/>
    <w:basedOn w:val="DefaultParagraphFont"/>
    <w:uiPriority w:val="99"/>
    <w:semiHidden/>
    <w:qFormat/>
    <w:rsid w:val="002361c6"/>
    <w:rPr/>
  </w:style>
  <w:style w:type="character" w:styleId="Style20">
    <w:name w:val="Выделение"/>
    <w:qFormat/>
    <w:rsid w:val="001f3608"/>
    <w:rPr>
      <w:rFonts w:cs="Times New Roman"/>
      <w:i/>
    </w:rPr>
  </w:style>
  <w:style w:type="character" w:styleId="Style21" w:customStyle="1">
    <w:name w:val="Абзац списка Знак"/>
    <w:link w:val="af1"/>
    <w:uiPriority w:val="34"/>
    <w:qFormat/>
    <w:locked/>
    <w:rsid w:val="002f30d5"/>
    <w:rPr>
      <w:rFonts w:ascii="Calibri" w:hAnsi="Calibri" w:eastAsia="Times New Roman" w:cs="Times New Roman"/>
      <w:lang w:eastAsia="ru-RU"/>
    </w:rPr>
  </w:style>
  <w:style w:type="character" w:styleId="Pathseparator" w:customStyle="1">
    <w:name w:val="path-separator"/>
    <w:basedOn w:val="DefaultParagraphFont"/>
    <w:qFormat/>
    <w:rsid w:val="0009436a"/>
    <w:rPr/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link w:val="af5"/>
    <w:uiPriority w:val="99"/>
    <w:rsid w:val="002361c6"/>
    <w:pPr>
      <w:shd w:val="clear" w:color="auto" w:fill="FFFFFF"/>
      <w:spacing w:lineRule="exact" w:line="346" w:before="0" w:after="0"/>
      <w:ind w:hanging="1300"/>
      <w:jc w:val="center"/>
    </w:pPr>
    <w:rPr>
      <w:rFonts w:ascii="Times New Roman" w:hAnsi="Times New Roman" w:eastAsia="Arial Unicode MS"/>
      <w:sz w:val="26"/>
      <w:szCs w:val="26"/>
    </w:rPr>
  </w:style>
  <w:style w:type="paragraph" w:styleId="Style27">
    <w:name w:val="List"/>
    <w:basedOn w:val="Normal"/>
    <w:uiPriority w:val="99"/>
    <w:semiHidden/>
    <w:unhideWhenUsed/>
    <w:rsid w:val="002658ec"/>
    <w:pPr>
      <w:spacing w:before="0" w:after="200"/>
      <w:ind w:left="283" w:hanging="283"/>
      <w:contextualSpacing/>
    </w:pPr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e463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8">
    <w:name w:val="TOC 1"/>
    <w:basedOn w:val="Normal"/>
    <w:next w:val="Normal"/>
    <w:autoRedefine/>
    <w:semiHidden/>
    <w:rsid w:val="00be4636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4">
    <w:name w:val="TOC 2"/>
    <w:basedOn w:val="Normal"/>
    <w:next w:val="Normal"/>
    <w:autoRedefine/>
    <w:semiHidden/>
    <w:rsid w:val="00be4636"/>
    <w:pPr>
      <w:spacing w:lineRule="auto" w:line="240" w:before="0" w:after="0"/>
      <w:ind w:left="240" w:hanging="0"/>
    </w:pPr>
    <w:rPr>
      <w:rFonts w:ascii="Times New Roman" w:hAnsi="Times New Roman"/>
      <w:sz w:val="24"/>
      <w:szCs w:val="24"/>
    </w:rPr>
  </w:style>
  <w:style w:type="paragraph" w:styleId="Style30">
    <w:name w:val="Footnote Text"/>
    <w:basedOn w:val="Normal"/>
    <w:link w:val="a5"/>
    <w:uiPriority w:val="99"/>
    <w:rsid w:val="00be4636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eastAsia="en-US"/>
    </w:rPr>
  </w:style>
  <w:style w:type="paragraph" w:styleId="ListBullet3">
    <w:name w:val="List Bullet 3"/>
    <w:basedOn w:val="Normal"/>
    <w:qFormat/>
    <w:rsid w:val="00be4636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4"/>
    <w:qFormat/>
    <w:rsid w:val="00be4636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Footer"/>
    <w:basedOn w:val="Normal"/>
    <w:link w:val="aa"/>
    <w:uiPriority w:val="99"/>
    <w:rsid w:val="00be46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33">
    <w:name w:val="Header"/>
    <w:basedOn w:val="Normal"/>
    <w:link w:val="ad"/>
    <w:uiPriority w:val="99"/>
    <w:unhideWhenUsed/>
    <w:rsid w:val="00967b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b34c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0c6f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f2"/>
    <w:uiPriority w:val="34"/>
    <w:qFormat/>
    <w:rsid w:val="00851a37"/>
    <w:pPr>
      <w:spacing w:before="0" w:after="200"/>
      <w:ind w:left="720" w:hanging="0"/>
      <w:contextualSpacing/>
    </w:pPr>
    <w:rPr/>
  </w:style>
  <w:style w:type="paragraph" w:styleId="19" w:customStyle="1">
    <w:name w:val="Без интервала1"/>
    <w:next w:val="NoSpacing"/>
    <w:uiPriority w:val="1"/>
    <w:qFormat/>
    <w:rsid w:val="002361c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110" w:customStyle="1">
    <w:name w:val="Абзац списка1"/>
    <w:basedOn w:val="Normal"/>
    <w:next w:val="ListParagraph"/>
    <w:uiPriority w:val="34"/>
    <w:qFormat/>
    <w:rsid w:val="002361c6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111" w:customStyle="1">
    <w:name w:val="Заголовок №11"/>
    <w:basedOn w:val="Normal"/>
    <w:link w:val="18"/>
    <w:uiPriority w:val="99"/>
    <w:qFormat/>
    <w:rsid w:val="002361c6"/>
    <w:pPr>
      <w:shd w:val="clear" w:color="auto" w:fill="FFFFFF"/>
      <w:spacing w:lineRule="atLeast" w:line="240" w:before="480" w:after="240"/>
      <w:outlineLvl w:val="0"/>
    </w:pPr>
    <w:rPr>
      <w:rFonts w:ascii="Times New Roman" w:hAnsi="Times New Roman" w:eastAsia="Calibri" w:eastAsiaTheme="minorHAnsi"/>
      <w:b/>
      <w:bCs/>
      <w:i/>
      <w:iCs/>
      <w:sz w:val="26"/>
      <w:szCs w:val="26"/>
      <w:lang w:eastAsia="en-US"/>
    </w:rPr>
  </w:style>
  <w:style w:type="paragraph" w:styleId="41" w:customStyle="1">
    <w:name w:val="Заголовок №4"/>
    <w:basedOn w:val="Normal"/>
    <w:link w:val="4"/>
    <w:uiPriority w:val="99"/>
    <w:qFormat/>
    <w:rsid w:val="002361c6"/>
    <w:pPr>
      <w:shd w:val="clear" w:color="auto" w:fill="FFFFFF"/>
      <w:spacing w:lineRule="atLeast" w:line="240" w:before="180" w:after="180"/>
      <w:jc w:val="both"/>
      <w:outlineLvl w:val="3"/>
    </w:pPr>
    <w:rPr>
      <w:rFonts w:ascii="Times New Roman" w:hAnsi="Times New Roman" w:eastAsia="Calibri" w:eastAsiaTheme="minorHAnsi"/>
      <w:b/>
      <w:bCs/>
      <w:sz w:val="26"/>
      <w:szCs w:val="26"/>
      <w:lang w:eastAsia="en-US"/>
    </w:rPr>
  </w:style>
  <w:style w:type="paragraph" w:styleId="Style34" w:customStyle="1">
    <w:name w:val="Колонтитул"/>
    <w:basedOn w:val="Normal"/>
    <w:link w:val="af6"/>
    <w:uiPriority w:val="99"/>
    <w:qFormat/>
    <w:rsid w:val="002361c6"/>
    <w:pPr>
      <w:shd w:val="clear" w:color="auto" w:fill="FFFFFF"/>
      <w:spacing w:lineRule="auto" w:line="240" w:before="0" w:after="0"/>
    </w:pPr>
    <w:rPr>
      <w:rFonts w:ascii="Times New Roman" w:hAnsi="Times New Roman" w:eastAsia="Calibri" w:eastAsiaTheme="minorHAnsi"/>
      <w:sz w:val="20"/>
      <w:szCs w:val="20"/>
      <w:lang w:eastAsia="en-US"/>
    </w:rPr>
  </w:style>
  <w:style w:type="paragraph" w:styleId="101" w:customStyle="1">
    <w:name w:val="Основной текст (10)"/>
    <w:basedOn w:val="Normal"/>
    <w:link w:val="100"/>
    <w:uiPriority w:val="99"/>
    <w:qFormat/>
    <w:rsid w:val="002361c6"/>
    <w:pPr>
      <w:shd w:val="clear" w:color="auto" w:fill="FFFFFF"/>
      <w:spacing w:lineRule="exact" w:line="251" w:before="0" w:after="0"/>
      <w:jc w:val="both"/>
    </w:pPr>
    <w:rPr>
      <w:rFonts w:ascii="Times New Roman" w:hAnsi="Times New Roman" w:eastAsia="Calibri" w:eastAsiaTheme="minorHAnsi"/>
      <w:sz w:val="21"/>
      <w:szCs w:val="21"/>
      <w:lang w:eastAsia="en-US"/>
    </w:rPr>
  </w:style>
  <w:style w:type="paragraph" w:styleId="112" w:customStyle="1">
    <w:name w:val="Текст выноски1"/>
    <w:basedOn w:val="Normal"/>
    <w:next w:val="BalloonText"/>
    <w:uiPriority w:val="99"/>
    <w:semiHidden/>
    <w:unhideWhenUsed/>
    <w:qFormat/>
    <w:rsid w:val="002361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3" w:customStyle="1">
    <w:name w:val="Нижний колонтитул1"/>
    <w:basedOn w:val="Normal"/>
    <w:next w:val="Style32"/>
    <w:uiPriority w:val="99"/>
    <w:unhideWhenUsed/>
    <w:qFormat/>
    <w:rsid w:val="002361c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cs="" w:asciiTheme="minorHAnsi" w:cstheme="minorBidi" w:hAnsiTheme="minorHAnsi"/>
    </w:rPr>
  </w:style>
  <w:style w:type="paragraph" w:styleId="114" w:customStyle="1">
    <w:name w:val="Верхний колонтитул1"/>
    <w:basedOn w:val="Normal"/>
    <w:next w:val="Style33"/>
    <w:uiPriority w:val="99"/>
    <w:semiHidden/>
    <w:unhideWhenUsed/>
    <w:qFormat/>
    <w:rsid w:val="002361c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cs="" w:asciiTheme="minorHAnsi" w:cstheme="minorBidi" w:hAnsiTheme="minorHAnsi"/>
    </w:rPr>
  </w:style>
  <w:style w:type="paragraph" w:styleId="S1" w:customStyle="1">
    <w:name w:val="s_1"/>
    <w:basedOn w:val="Normal"/>
    <w:qFormat/>
    <w:rsid w:val="001f360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16" w:customStyle="1">
    <w:name w:val="s_16"/>
    <w:basedOn w:val="Normal"/>
    <w:qFormat/>
    <w:rsid w:val="0079337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15" w:customStyle="1">
    <w:name w:val="Нет списка1"/>
    <w:uiPriority w:val="99"/>
    <w:semiHidden/>
    <w:unhideWhenUsed/>
    <w:qFormat/>
    <w:rsid w:val="002361c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e46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4">
    <w:name w:val="Сетка таблицы1"/>
    <w:basedOn w:val="a1"/>
    <w:uiPriority w:val="59"/>
    <w:rsid w:val="00967b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967b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s://egrnreester.ru/articles/kak-prokhodit-otsenka-rynochnoy-stoimosti-obekta-nedvizhimosti" TargetMode="External"/><Relationship Id="rId7" Type="http://schemas.openxmlformats.org/officeDocument/2006/relationships/footer" Target="footer5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C1CF-4499-4E56-815F-6ECB1420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Application>LibreOffice/6.4.7.2$Linux_X86_64 LibreOffice_project/40$Build-2</Application>
  <Pages>15</Pages>
  <Words>3005</Words>
  <Characters>21205</Characters>
  <CharactersWithSpaces>23832</CharactersWithSpaces>
  <Paragraphs>587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2019-11-06T09:12:00Z</dcterms:created>
  <dc:creator>Home</dc:creator>
  <dc:description/>
  <dc:language>ru-RU</dc:language>
  <cp:lastModifiedBy/>
  <cp:lastPrinted>2021-08-31T08:41:00Z</cp:lastPrinted>
  <dcterms:modified xsi:type="dcterms:W3CDTF">2021-09-23T11:31:38Z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