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7777777" w:rsidR="00916F44" w:rsidRPr="002F6F48" w:rsidRDefault="008865ED">
      <w:pPr>
        <w:pStyle w:val="a4"/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Pr="002F6F48">
        <w:rPr>
          <w:sz w:val="28"/>
          <w:szCs w:val="28"/>
        </w:rPr>
        <w:t>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77777777" w:rsidR="002F6F48" w:rsidRPr="002F6F48" w:rsidRDefault="002F6F48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F6F48">
        <w:rPr>
          <w:b/>
          <w:caps/>
          <w:sz w:val="28"/>
          <w:szCs w:val="28"/>
        </w:rPr>
        <w:t>ОДБ.06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7DA28560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образования</w:t>
      </w:r>
      <w:r w:rsidR="002F6F48" w:rsidRPr="002A031D">
        <w:rPr>
          <w:spacing w:val="1"/>
        </w:rPr>
        <w:t xml:space="preserve"> </w:t>
      </w:r>
      <w:r w:rsidR="00F27E4D">
        <w:t>23.01.17 Мастер по ремонту и обслуживанию автомобилей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lastRenderedPageBreak/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lastRenderedPageBreak/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lastRenderedPageBreak/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lastRenderedPageBreak/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lastRenderedPageBreak/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lastRenderedPageBreak/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lastRenderedPageBreak/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44"/>
    <w:rsid w:val="002A031D"/>
    <w:rsid w:val="002F6F48"/>
    <w:rsid w:val="006D09E8"/>
    <w:rsid w:val="008865ED"/>
    <w:rsid w:val="00916F44"/>
    <w:rsid w:val="00AB7E8F"/>
    <w:rsid w:val="00E500C4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2DE-D128-4762-A18D-D258DED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</cp:lastModifiedBy>
  <cp:revision>9</cp:revision>
  <dcterms:created xsi:type="dcterms:W3CDTF">2021-11-26T11:32:00Z</dcterms:created>
  <dcterms:modified xsi:type="dcterms:W3CDTF">2022-10-11T11:43:00Z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