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к рабочей программе профессионального модуля 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" w:ascii="Times New Roman" w:hAnsi="Times New Roman" w:eastAsiaTheme="minorEastAsia"/>
          <w:b/>
          <w:caps/>
          <w:color w:val="000000"/>
          <w:sz w:val="28"/>
          <w:szCs w:val="28"/>
          <w:lang w:eastAsia="ru-RU"/>
        </w:rPr>
        <w:t>ПМ.03 Модернизация и внедрение новых методов и средств контроля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eastAsia="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 xml:space="preserve">27.02.07 </w:t>
      </w:r>
      <w:r>
        <w:rPr>
          <w:rFonts w:eastAsia="" w:ascii="Times New Roman" w:hAnsi="Times New Roman" w:eastAsiaTheme="minorEastAsia"/>
          <w:b/>
          <w:color w:val="000000"/>
          <w:sz w:val="28"/>
          <w:szCs w:val="28"/>
          <w:lang w:eastAsia="ru-RU"/>
        </w:rPr>
        <w:t>Управление качеством продукции, процессов и услуг  (по отраслям)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Рабочая программа профессионального модуля «ПМ.01 Контроль качества продукции на каждой стадии производственного процесса»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27.02.07 «Управление качеством продукции, процессов и услуг (по отраслям)», утверждённого приказом Министерства образования и науки Российской Федерации от 9 декабря 2016 года № 1557, примерной основной образовательной программы по профессии/специальности 27.02.07 «Управление качеством продукции, процессов и услуг (по отраслям)» (рег.№ 27.02.07-170601, дата включения в реестр 01.06.2017).</w:t>
      </w:r>
    </w:p>
    <w:p>
      <w:pPr>
        <w:pStyle w:val="Normal"/>
        <w:shd w:val="clear" w:color="auto" w:fill="FFFFFF"/>
        <w:spacing w:lineRule="atLeast" w:line="315" w:before="0" w:after="10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Цель и планируемые результаты освоения профессионального модуля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«Проведение работ по модернизации и внедрению новых методов и средств контроля» и соответствующие ему общие компетенции и профессиональные компетенции: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Перечень общих компетенций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7"/>
        <w:gridCol w:w="8343"/>
      </w:tblGrid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ОК 10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ЛР 1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Осознающий себя гражданином и защитником великой страны.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ЛР 16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ЛР 17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ЛР 18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ЛР 19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  <w:lang w:val="ru-RU"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средств.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Перечень профессиональных компетенций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4"/>
        <w:gridCol w:w="8366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Проведение работ по модернизации и внедрению новых методов и средств контроля</w:t>
            </w:r>
          </w:p>
        </w:tc>
      </w:tr>
      <w:tr>
        <w:trPr>
          <w:trHeight w:val="223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120" w:after="12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Разрабатывать новые методы и средства технического контроля продукции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120" w:after="12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120" w:after="12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Анализировать результаты контроля качества продукции с целью формирования предложений по совершенствованию производственного процесса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Количество часов, отводимое на освоение профессионального модуля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Всего часов 478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том числе в форме практической подготовки 216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них на освоение МДК.03.01 192 часа, МДК.03.02 70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самостоятельная работа 14 часов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практики, в том числе учебная 72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производственная 144 часа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аттестация: МДК.03.01 - экзамен в 8 семестре (6 часов), МДК.03.02 - экзамен в 7 семестре (6 часов). ПМ экзамен 8 семестре (6 часов).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Перечисление основных разделов ПМ.03: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Раздел 1. Основы процесса модернизации и внедрения новых методов контроля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Раздел 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Аудит систем управления качества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практикаУП.03.01 Виды работ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Изучение международных стандартов </w:t>
      </w:r>
      <w:r>
        <w:rPr>
          <w:spacing w:val="-8"/>
          <w:sz w:val="28"/>
          <w:szCs w:val="28"/>
        </w:rPr>
        <w:t xml:space="preserve"> ИСО 9000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контроля  изделий промышленного производства с применением измерительных инструментов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документации по результатам контроля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рекламаций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Описание критериев улучшения качества и способы их использования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Построение причинно – следственной диаграммы экспертной оценки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Составление контрольных карт по количественному признаку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Определение уровня дефектности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Оформление  журнала  результатов анализа, </w:t>
      </w:r>
      <w:r>
        <w:rPr>
          <w:color w:val="000000"/>
          <w:sz w:val="28"/>
          <w:szCs w:val="28"/>
        </w:rPr>
        <w:t xml:space="preserve"> причин несоответствий показателей качества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Ознакомиться с общей структурой предприятия, характером и назначением основного вида деятельности предприятия.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sz w:val="28"/>
          <w:szCs w:val="28"/>
        </w:rPr>
        <w:t>Изучить требования к качеству выпускаемой продукции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Ознакомиться со структурой и задачами служб предприятия, отвечающих за качество выпускаемой продукции (дирекция по качеству, служба главного метролога, служба главного конструктора, служба главного технолога)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Ознакомиться с процессами сертификации и стандартизации продукции.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sz w:val="28"/>
          <w:szCs w:val="28"/>
        </w:rPr>
        <w:t>Изучить цели и задачи системы менеджмента качества на предприятии и порядок ее сертификации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sz w:val="28"/>
          <w:szCs w:val="28"/>
        </w:rPr>
        <w:t>Обязанности должностных лиц, ответственных за качество, исполнителей основных и вспомогательных операций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rFonts w:eastAsia="TimesNewRoman"/>
          <w:sz w:val="28"/>
          <w:szCs w:val="28"/>
        </w:rPr>
        <w:t>Измерение электрических величин аналоговыми электромеханическими и цифровыми измерительными приборами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rFonts w:eastAsia="TimesNewRoman"/>
          <w:sz w:val="28"/>
          <w:szCs w:val="28"/>
        </w:rPr>
        <w:t>Измерение параметров элементов электрических цепей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before="120" w:after="0"/>
        <w:contextualSpacing/>
        <w:rPr>
          <w:sz w:val="28"/>
          <w:szCs w:val="28"/>
        </w:rPr>
      </w:pPr>
      <w:r>
        <w:rPr>
          <w:rFonts w:eastAsia="TimesNewRoman"/>
          <w:sz w:val="28"/>
          <w:szCs w:val="28"/>
        </w:rPr>
        <w:t>Метод вольтметра-амперметра, электронные омметры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426" w:leader="none"/>
        </w:tabs>
        <w:spacing w:before="120" w:after="0"/>
        <w:contextualSpacing/>
        <w:rPr>
          <w:sz w:val="28"/>
          <w:szCs w:val="28"/>
        </w:rPr>
      </w:pPr>
      <w:r>
        <w:rPr>
          <w:rFonts w:eastAsia="TimesNewRoman"/>
          <w:sz w:val="28"/>
          <w:szCs w:val="28"/>
        </w:rPr>
        <w:t>Измерительные мосты постоянного тока, измерительные мосты переменного тока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  <w:tab w:val="left" w:pos="426" w:leader="none"/>
        </w:tabs>
        <w:spacing w:lineRule="atLeast" w:line="315" w:before="120" w:after="0"/>
        <w:contextualSpacing/>
        <w:rPr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Резонансный метод измерения</w:t>
      </w:r>
    </w:p>
    <w:p>
      <w:pPr>
        <w:pStyle w:val="Normal"/>
        <w:widowControl w:val="false"/>
        <w:spacing w:lineRule="auto" w:line="240" w:before="0" w:after="0"/>
        <w:ind w:left="72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widowControl w:val="false"/>
        <w:spacing w:before="0" w:after="0"/>
        <w:ind w:left="1428" w:hanging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ListParagraph"/>
        <w:widowControl w:val="false"/>
        <w:shd w:val="clear" w:color="auto" w:fill="FFFFFF"/>
        <w:spacing w:before="0" w:after="0"/>
        <w:ind w:left="1428" w:hanging="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Производственная практика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работ: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сущности основных методов управления качеством на производстве:</w:t>
      </w:r>
    </w:p>
    <w:p>
      <w:pPr>
        <w:pStyle w:val="ListParagraph"/>
        <w:widowControl w:val="false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 – распорядительные методы;</w:t>
      </w:r>
    </w:p>
    <w:p>
      <w:pPr>
        <w:pStyle w:val="ListParagraph"/>
        <w:widowControl w:val="false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-инженерно - технологические методы;</w:t>
      </w:r>
    </w:p>
    <w:p>
      <w:pPr>
        <w:pStyle w:val="ListParagraph"/>
        <w:widowControl w:val="false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-экономические методы;</w:t>
      </w:r>
    </w:p>
    <w:p>
      <w:pPr>
        <w:pStyle w:val="ListParagraph"/>
        <w:widowControl w:val="false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-социально - психологические методы.</w:t>
      </w:r>
    </w:p>
    <w:p>
      <w:pPr>
        <w:pStyle w:val="ListParagraph"/>
        <w:widowControl w:val="false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-экспертные методы.</w:t>
      </w:r>
    </w:p>
    <w:p>
      <w:pPr>
        <w:pStyle w:val="ListParagraph"/>
        <w:widowControl w:val="false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- научно - распорядительные методы. Составление схем.</w:t>
      </w:r>
    </w:p>
    <w:p>
      <w:pPr>
        <w:pStyle w:val="ListParagraph"/>
        <w:widowControl w:val="false"/>
        <w:numPr>
          <w:ilvl w:val="0"/>
          <w:numId w:val="3"/>
        </w:numPr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>
        <w:rPr>
          <w:sz w:val="28"/>
          <w:szCs w:val="28"/>
          <w:shd w:fill="FFFFFF" w:val="clear"/>
        </w:rPr>
        <w:t>конкурентоспособности:</w:t>
      </w:r>
      <w:r>
        <w:rPr>
          <w:color w:val="000000"/>
          <w:sz w:val="28"/>
          <w:szCs w:val="28"/>
          <w:shd w:fill="FFFFFF" w:val="clear"/>
        </w:rPr>
        <w:t xml:space="preserve"> повышение технического уровня производства за счет переоснащения и модернизации, создания новых производств, внедрение в практику управления организацией статистических методов управления качеством, снижение издержек производства.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Организация метрологического обеспечения и технической базы испытаний: проведение работ по метрологическому обеспечению; оснащение метрологической базы средствами измерений показателей качества.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Развитие системы оценки соответствия: проведение сертификации продукции; проведение организациями аудитов производств и систем менеджмента качества предприятий – поставщиков.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Образование и подготовка кадров: повышение квалификации руководителей и специалистов всех уровней; организация учебы вновь назначенных рабочих различного уровня; стимулирование рабочих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по количественному признаку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по альтернативному признаку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 контрольных карт по количественному и альтернативному признакам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аудита.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анализа документации.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проведению аудита на месте.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аудита на месте.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Ознакомление с инфраструктурой предприятия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Ознакомление с политикой работы отделов и структурных подразделений предприятия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Ознакомление с сырьевой базой предприятия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Ознакомление с продукцией предприятия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Ознакомление с технологическим циклом предприятия выпуска продукции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Работа с системой качества предприятия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Изучение документооборота предприятия в сфере повышения качества продукции и услуг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Работа в отделе контроля качества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Плановые операции контроля качества, применение статистического метода контроля качества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Оформление нормативных документов в области контроля качества продукции товаров и услуг</w:t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Представление отчета о мерах воздействия в рамках системы качества предприятия для повышения качества продукции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Периодичность и формы текущего контроля и промежуточной аттестации: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МДК.03.01 — экзамен в 8 семестре,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МДК.03.02 — экзамен в 7 семестре,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МДК.03.01- дифференцированный зачет в 7 семестре,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УП.03.01 -  дифференцированный зачет в 8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семестре,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ПП.03.01-  дифференцированный зачет в 8 семестре,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экзамен по модулю в 8 семестре.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12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d22ddf"/>
    <w:pPr>
      <w:keepNext w:val="true"/>
      <w:numPr>
        <w:ilvl w:val="0"/>
        <w:numId w:val="1"/>
      </w:numPr>
      <w:suppressAutoHyphens w:val="fals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Normal"/>
    <w:next w:val="Normal"/>
    <w:link w:val="20"/>
    <w:qFormat/>
    <w:locked/>
    <w:rsid w:val="00d22ddf"/>
    <w:pPr>
      <w:keepNext w:val="true"/>
      <w:numPr>
        <w:ilvl w:val="1"/>
        <w:numId w:val="1"/>
      </w:numPr>
      <w:suppressAutoHyphens w:val="fals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Normal"/>
    <w:next w:val="Normal"/>
    <w:link w:val="30"/>
    <w:qFormat/>
    <w:locked/>
    <w:rsid w:val="00d22ddf"/>
    <w:pPr>
      <w:keepNext w:val="true"/>
      <w:numPr>
        <w:ilvl w:val="2"/>
        <w:numId w:val="1"/>
      </w:numPr>
      <w:suppressAutoHyphens w:val="fals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val="x-none" w:eastAsia="zh-CN"/>
    </w:rPr>
  </w:style>
  <w:style w:type="paragraph" w:styleId="4">
    <w:name w:val="Heading 4"/>
    <w:basedOn w:val="3"/>
    <w:next w:val="Normal"/>
    <w:link w:val="40"/>
    <w:qFormat/>
    <w:locked/>
    <w:rsid w:val="00d22ddf"/>
    <w:pPr>
      <w:keepLines/>
      <w:numPr>
        <w:ilvl w:val="3"/>
        <w:numId w:val="1"/>
      </w:numPr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22ddf"/>
    <w:rPr>
      <w:rFonts w:ascii="Arial" w:hAnsi="Arial" w:eastAsia="Times New Roman" w:cs="Arial"/>
      <w:b/>
      <w:bCs/>
      <w:kern w:val="2"/>
      <w:sz w:val="32"/>
      <w:szCs w:val="32"/>
      <w:lang w:val="x-none" w:eastAsia="zh-CN"/>
    </w:rPr>
  </w:style>
  <w:style w:type="character" w:styleId="21" w:customStyle="1">
    <w:name w:val="Заголовок 2 Знак"/>
    <w:basedOn w:val="DefaultParagraphFont"/>
    <w:link w:val="2"/>
    <w:qFormat/>
    <w:rsid w:val="00d22ddf"/>
    <w:rPr>
      <w:rFonts w:ascii="Arial" w:hAnsi="Arial" w:eastAsia="Times New Roman" w:cs="Arial"/>
      <w:b/>
      <w:bCs/>
      <w:i/>
      <w:iCs/>
      <w:sz w:val="28"/>
      <w:szCs w:val="28"/>
      <w:lang w:val="x-none" w:eastAsia="zh-CN"/>
    </w:rPr>
  </w:style>
  <w:style w:type="character" w:styleId="31" w:customStyle="1">
    <w:name w:val="Заголовок 3 Знак"/>
    <w:basedOn w:val="DefaultParagraphFont"/>
    <w:link w:val="3"/>
    <w:qFormat/>
    <w:rsid w:val="00d22ddf"/>
    <w:rPr>
      <w:rFonts w:ascii="Arial" w:hAnsi="Arial" w:eastAsia="Times New Roman" w:cs="Arial"/>
      <w:b/>
      <w:bCs/>
      <w:sz w:val="26"/>
      <w:szCs w:val="26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d22ddf"/>
    <w:rPr>
      <w:rFonts w:ascii="Times New Roman" w:hAnsi="Times New Roman" w:eastAsia="Times New Roman"/>
      <w:b/>
      <w:bCs/>
      <w:sz w:val="24"/>
      <w:szCs w:val="24"/>
      <w:lang w:val="x-none" w:eastAsia="zh-CN"/>
    </w:rPr>
  </w:style>
  <w:style w:type="character" w:styleId="Style10">
    <w:name w:val="Выделение"/>
    <w:qFormat/>
    <w:locked/>
    <w:rsid w:val="00d22ddf"/>
    <w:rPr>
      <w:rFonts w:cs="Times New Roman"/>
      <w:i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6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paragraph" w:styleId="ListParagraph">
    <w:name w:val="List Paragraph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LibreOffice/7.0.0.3$Windows_X86_64 LibreOffice_project/8061b3e9204bef6b321a21033174034a5e2ea88e</Application>
  <Pages>5</Pages>
  <Words>955</Words>
  <Characters>7141</Characters>
  <CharactersWithSpaces>7970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2016-02-04T12:43:00Z</dcterms:created>
  <dc:creator>User</dc:creator>
  <dc:description/>
  <dc:language>ru-RU</dc:language>
  <cp:lastModifiedBy/>
  <cp:lastPrinted>2021-03-12T07:37:00Z</cp:lastPrinted>
  <dcterms:modified xsi:type="dcterms:W3CDTF">2021-10-13T22:30:11Z</dcterms:modified>
  <cp:revision>10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