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1.6.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cap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caps/>
          <w:sz w:val="28"/>
          <w:szCs w:val="28"/>
          <w:lang w:eastAsia="ru-RU"/>
        </w:rPr>
      </w:r>
    </w:p>
    <w:tbl>
      <w:tblPr>
        <w:tblW w:w="93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758"/>
      </w:tblGrid>
      <w:tr>
        <w:trPr>
          <w:trHeight w:val="5385" w:hRule="atLeast"/>
        </w:trPr>
        <w:tc>
          <w:tcPr>
            <w:tcW w:w="464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(наименование организации)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____________(______________________)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подпись                           ФИО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 xml:space="preserve">«___»_________20___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МП</w:t>
            </w:r>
          </w:p>
        </w:tc>
        <w:tc>
          <w:tcPr>
            <w:tcW w:w="475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iCs/>
              </w:rPr>
              <w:t xml:space="preserve">Зам директора по УПР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ГБПОУ МО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«Воскресенский колледж»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iCs/>
              </w:rPr>
              <w:t>_________ (Бутченко Е.В.)</w:t>
            </w:r>
          </w:p>
          <w:p>
            <w:pPr>
              <w:pStyle w:val="26"/>
              <w:spacing w:before="0" w:after="0"/>
              <w:ind w:left="0" w:right="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                    </w:t>
            </w:r>
            <w:r>
              <w:rPr>
                <w:lang w:val="ru-RU" w:eastAsia="ru-RU"/>
              </w:rPr>
              <w:t>«___»_________20___г.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cs="Times New Roman" w:ascii="Times New Roman" w:hAnsi="Times New Roman"/>
                <w:lang w:val="ru-RU"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РАБОЧАЯ  ПРОГРАММа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по практической подготовке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aps/>
          <w:sz w:val="28"/>
          <w:szCs w:val="28"/>
        </w:rPr>
        <w:t>(производственной  практики (по профилю специальности))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 xml:space="preserve">ПМ  </w:t>
      </w:r>
      <w:r>
        <w:rPr>
          <w:rFonts w:cs="Times New Roman" w:ascii="Times New Roman" w:hAnsi="Times New Roman"/>
          <w:caps/>
          <w:sz w:val="24"/>
          <w:szCs w:val="24"/>
        </w:rPr>
        <w:t xml:space="preserve">02  </w:t>
      </w:r>
      <w:r>
        <w:rPr>
          <w:rFonts w:cs="Times New Roman" w:ascii="Times New Roman" w:hAnsi="Times New Roman"/>
        </w:rPr>
        <w:t>«Ведение расчетов с бюджетами бюджетной системы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Российской Федерации»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cs="Times New Roman" w:ascii="Times New Roman" w:hAnsi="Times New Roman"/>
          <w:bCs/>
          <w:sz w:val="28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</w:rPr>
        <w:t>38.02.06 «Финансы»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Квалификация  </w:t>
      </w:r>
      <w:r>
        <w:rPr>
          <w:rFonts w:cs="Times New Roman" w:ascii="Times New Roman" w:hAnsi="Times New Roman"/>
          <w:sz w:val="28"/>
          <w:szCs w:val="28"/>
          <w:lang w:eastAsia="ru-RU"/>
        </w:rPr>
        <w:t>финансист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cap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rPr>
          <w:caps/>
          <w:sz w:val="28"/>
          <w:szCs w:val="28"/>
          <w:lang w:eastAsia="ru-RU"/>
        </w:rPr>
      </w:pPr>
      <w:r>
        <w:rPr>
          <w:cap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2021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76" w:before="0" w:after="20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профессионального модуля 02 «Ведение расчетов с бюджетами бюджетной системы Российской Федерации»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rFonts w:cs="Times New Roman"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Times New Roman" w:ascii="Times New Roman" w:hAnsi="Times New Roman"/>
          <w:i/>
          <w:iCs/>
          <w:color w:val="4D4D4D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4D4D4D"/>
          <w:sz w:val="24"/>
          <w:szCs w:val="24"/>
        </w:rPr>
        <w:t>5 февраля 2018 г. № 65</w:t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caps/>
          <w:sz w:val="24"/>
          <w:szCs w:val="24"/>
          <w:u w:val="single"/>
          <w:lang w:eastAsia="ru-RU"/>
        </w:rPr>
      </w:pPr>
      <w:r>
        <w:rPr>
          <w:rFonts w:eastAsia="Calibri" w:cs="Times New Roman" w:ascii="Times New Roman" w:hAnsi="Times New Roman"/>
          <w:b/>
          <w:caps/>
          <w:sz w:val="24"/>
          <w:szCs w:val="24"/>
          <w:u w:val="single"/>
          <w:lang w:eastAsia="ru-RU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Разработчик: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»</w:t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Кондакова Т.А.  преподаватель ГБПОУ МО «Воскресенский колледж»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Рабочая программа производственной практики ( по профилю специальности)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</w:rPr>
        <w:t xml:space="preserve">___    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</w:rPr>
        <w:t xml:space="preserve"> ______</w:t>
      </w:r>
      <w:r>
        <w:rPr>
          <w:rFonts w:cs="Times New Roman" w:ascii="Times New Roman" w:hAnsi="Times New Roman"/>
          <w:sz w:val="24"/>
          <w:szCs w:val="28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8"/>
        </w:rPr>
        <w:t>2___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8"/>
          <w:lang w:val="ru-RU" w:eastAsia="ru-RU"/>
        </w:rPr>
      </w:pPr>
      <w:r>
        <w:rPr>
          <w:rFonts w:cs="Times New Roman" w:ascii="Times New Roman" w:hAnsi="Times New Roman"/>
          <w:sz w:val="24"/>
          <w:szCs w:val="28"/>
          <w:lang w:val="ru-RU" w:eastAsia="ru-RU"/>
        </w:rPr>
      </w:r>
    </w:p>
    <w:p>
      <w:pPr>
        <w:pStyle w:val="Normal"/>
        <w:spacing w:lineRule="auto" w:line="276" w:before="0" w:after="200"/>
        <w:rPr/>
      </w:pPr>
      <w:r>
        <w:rPr>
          <w:rFonts w:cs="Times New Roman" w:ascii="Times New Roman" w:hAnsi="Times New Roman"/>
          <w:sz w:val="24"/>
          <w:szCs w:val="28"/>
          <w:lang w:eastAsia="ru-RU"/>
        </w:rPr>
        <w:t>Председатель предметной (цикловой) комиссии</w:t>
      </w:r>
      <w:r>
        <w:rPr>
          <w:sz w:val="20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__________________/Портная И.М./</w:t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6428"/>
        <w:gridCol w:w="2268"/>
      </w:tblGrid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Паспорт  программы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Структура  и содержание 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План – задание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Условия реализации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8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Контроль и оценка результатов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  <w:lang w:eastAsia="ru-RU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8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42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83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 xml:space="preserve">Аттестационные листы студента </w:t>
            </w:r>
            <w:r>
              <w:rPr>
                <w:rFonts w:cs="Times New Roman" w:ascii="Times New Roman" w:hAnsi="Times New Roman"/>
                <w:sz w:val="24"/>
                <w:szCs w:val="28"/>
                <w:lang w:eastAsia="ru-RU"/>
              </w:rPr>
              <w:t>практической подготовки (производственной практики (по профилю специальности))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ind w:firstLine="709"/>
              <w:rPr>
                <w:rFonts w:ascii="Times New Roman" w:hAnsi="Times New Roman" w:eastAsia="TimesNewRomanPSMT;MS Mincho" w:cs="Times New Roman"/>
                <w:sz w:val="24"/>
                <w:szCs w:val="28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8"/>
              </w:rPr>
              <w:t>11</w:t>
            </w:r>
          </w:p>
        </w:tc>
      </w:tr>
    </w:tbl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firstLine="709"/>
        <w:jc w:val="center"/>
        <w:outlineLvl w:val="0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NewRomanPSMT;MS Mincho" w:cs="Times New Roman"/>
          <w:sz w:val="28"/>
          <w:szCs w:val="28"/>
        </w:rPr>
      </w:pPr>
      <w:r>
        <w:rPr>
          <w:rFonts w:eastAsia="TimesNewRomanPSMT;MS Mincho"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autoSpaceDE w:val="false"/>
        <w:spacing w:lineRule="auto" w:line="240" w:before="0" w:after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Паспорт программы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1069" w:firstLine="709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right="-185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1.1 Область применения рабочей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</w:rPr>
        <w:t xml:space="preserve"> (далее – рабочая программа) – является частью рабочей основной профессиональной образовательной программы ПМ02 «Ведение расчетов с бюджетами бюджетной системы Российской Федерации» в соответствии с ФГОС по специальности СПО </w:t>
      </w:r>
      <w:r>
        <w:rPr>
          <w:rFonts w:eastAsia="Calibri" w:cs="Times New Roman" w:ascii="Times New Roman" w:hAnsi="Times New Roman"/>
          <w:sz w:val="24"/>
          <w:szCs w:val="24"/>
        </w:rPr>
        <w:t>38.02.06 «Финансы»</w:t>
      </w:r>
      <w:r>
        <w:rPr>
          <w:rFonts w:cs="Times New Roman"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«Ведение расчетов с бюджетами бюджетной системы Российской Федерации»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структуре профессионального модуля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Практическая подготовка (производственной практики ( 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проводится на промышленных предприятиях/ организациях  после завершения изучения </w:t>
      </w:r>
      <w:r>
        <w:rPr>
          <w:rFonts w:cs="Times New Roman" w:ascii="Times New Roman" w:hAnsi="Times New Roman"/>
          <w:caps/>
          <w:sz w:val="24"/>
          <w:szCs w:val="24"/>
        </w:rPr>
        <w:t xml:space="preserve">ПМ 02 </w:t>
      </w:r>
      <w:r>
        <w:rPr>
          <w:rFonts w:cs="Times New Roman" w:ascii="Times New Roman" w:hAnsi="Times New Roman"/>
          <w:sz w:val="24"/>
          <w:szCs w:val="24"/>
        </w:rPr>
        <w:t xml:space="preserve">Ведение расчетов с бюджетами бюджетной системы Российской Федерации»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1.3. Цели и задачи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практики должен: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иметь практический опыт:</w:t>
      </w:r>
    </w:p>
    <w:p>
      <w:pPr>
        <w:pStyle w:val="Style37"/>
        <w:rPr>
          <w:rFonts w:eastAsia="Arial Unicode MS"/>
        </w:rPr>
      </w:pPr>
      <w:r>
        <w:rPr/>
        <w:t>- исчислении суммы налогов, сборов и страховых взносов, подлежащих уплате в бюджетную систему Российской Федерации и внебюджетные фонды;</w:t>
      </w:r>
    </w:p>
    <w:p>
      <w:pPr>
        <w:pStyle w:val="Style37"/>
        <w:rPr>
          <w:rFonts w:eastAsia="Arial Unicode MS"/>
        </w:rPr>
      </w:pPr>
      <w:r>
        <w:rPr/>
        <w:t>- оформлении налоговых деклараций, расчетов, отчетов по страховым взносам во внебюджетные фонды в установленные законодательством сроки;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организации и проведении контроля за соблюдением законодательства о налогах, сборах и страховых взносах.</w:t>
      </w:r>
    </w:p>
    <w:p>
      <w:pPr>
        <w:pStyle w:val="Normal"/>
        <w:spacing w:before="0" w:after="0"/>
        <w:ind w:right="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уметь:</w:t>
      </w:r>
    </w:p>
    <w:p>
      <w:pPr>
        <w:pStyle w:val="Style37"/>
        <w:rPr>
          <w:rFonts w:eastAsia="Arial Unicode MS"/>
        </w:rPr>
      </w:pPr>
      <w:r>
        <w:rPr/>
        <w:t>- ориентироваться в законодательных и иных нормативных правовых актах о налогах, сборах и страховых взносах;</w:t>
      </w:r>
    </w:p>
    <w:p>
      <w:pPr>
        <w:pStyle w:val="Style37"/>
        <w:rPr>
          <w:rFonts w:eastAsia="Arial Unicode MS"/>
        </w:rPr>
      </w:pPr>
      <w:r>
        <w:rPr/>
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</w:r>
    </w:p>
    <w:p>
      <w:pPr>
        <w:pStyle w:val="Style37"/>
        <w:rPr>
          <w:rFonts w:eastAsia="Arial Unicode MS"/>
        </w:rPr>
      </w:pPr>
      <w:r>
        <w:rPr/>
        <w:t>- ориентироваться в законодательных и иных нормативных правовых актах, определяющих порядок организации налогового контроля;</w:t>
      </w:r>
    </w:p>
    <w:p>
      <w:pPr>
        <w:pStyle w:val="Style37"/>
        <w:rPr>
          <w:rFonts w:eastAsia="Arial Unicode MS"/>
        </w:rPr>
      </w:pPr>
      <w:r>
        <w:rPr/>
        <w:t>- определять налоговую базу и рассчитывать налоги, сборы и страховые взносы, в соответствии с законодательством Российской Федерации;</w:t>
      </w:r>
    </w:p>
    <w:p>
      <w:pPr>
        <w:pStyle w:val="Style37"/>
        <w:rPr>
          <w:rFonts w:eastAsia="Arial Unicode MS"/>
        </w:rPr>
      </w:pPr>
      <w:r>
        <w:rPr/>
        <w:t>- применять налоговые льготы;</w:t>
      </w:r>
    </w:p>
    <w:p>
      <w:pPr>
        <w:pStyle w:val="Style37"/>
        <w:rPr>
          <w:rFonts w:eastAsia="Arial Unicode MS"/>
        </w:rPr>
      </w:pPr>
      <w:r>
        <w:rPr/>
        <w:t>- определять источники уплаты налогов, сборов и страховых взносов;</w:t>
      </w:r>
    </w:p>
    <w:p>
      <w:pPr>
        <w:pStyle w:val="Style37"/>
        <w:rPr>
          <w:rFonts w:eastAsia="Arial Unicode MS"/>
        </w:rPr>
      </w:pPr>
      <w:r>
        <w:rPr/>
        <w:t>- формировать налоговую отчетность;</w:t>
      </w:r>
    </w:p>
    <w:p>
      <w:pPr>
        <w:pStyle w:val="Style37"/>
        <w:rPr>
          <w:rFonts w:eastAsia="Arial Unicode MS"/>
        </w:rPr>
      </w:pPr>
      <w:r>
        <w:rPr/>
        <w:t>- формировать учетную политику для целей налогообложения;</w:t>
      </w:r>
    </w:p>
    <w:p>
      <w:pPr>
        <w:pStyle w:val="Style37"/>
        <w:rPr>
          <w:rFonts w:eastAsia="Arial Unicode MS"/>
        </w:rPr>
      </w:pPr>
      <w:r>
        <w:rPr/>
        <w:t>- рассчитывать страховые взносы в бюджеты государственных внебюджетных фондов Российской Федерации;</w:t>
      </w:r>
    </w:p>
    <w:p>
      <w:pPr>
        <w:pStyle w:val="Style37"/>
        <w:rPr>
          <w:rFonts w:eastAsia="Arial Unicode MS"/>
        </w:rPr>
      </w:pPr>
      <w:r>
        <w:rPr/>
        <w:t>- организовывать оптимальное ведение налогового учета;</w:t>
      </w:r>
    </w:p>
    <w:p>
      <w:pPr>
        <w:pStyle w:val="Style37"/>
        <w:rPr>
          <w:rFonts w:eastAsia="Arial Unicode MS"/>
        </w:rPr>
      </w:pPr>
      <w:r>
        <w:rPr/>
        <w:t>- осуществлять контроль за своевременностью и полнотой уплаты налогов, сборов и страховых взносов в форме налогового мониторинга;</w:t>
      </w:r>
    </w:p>
    <w:p>
      <w:pPr>
        <w:pStyle w:val="Style37"/>
        <w:rPr>
          <w:rFonts w:eastAsia="Arial Unicode MS"/>
        </w:rPr>
      </w:pPr>
      <w:r>
        <w:rPr/>
        <w:t>- применять положения международных договоров об устранении двойного налогообложения;</w:t>
      </w:r>
    </w:p>
    <w:p>
      <w:pPr>
        <w:pStyle w:val="Style37"/>
        <w:rPr>
          <w:rFonts w:eastAsia="Arial Unicode MS"/>
        </w:rPr>
      </w:pPr>
      <w:r>
        <w:rPr/>
        <w:t>- определять режимы налогообложения;</w:t>
      </w:r>
    </w:p>
    <w:p>
      <w:pPr>
        <w:pStyle w:val="Style37"/>
        <w:rPr>
          <w:rFonts w:eastAsia="Arial Unicode MS"/>
        </w:rPr>
      </w:pPr>
      <w:r>
        <w:rPr/>
        <w:t>- определять элементы налогообложения;</w:t>
      </w:r>
    </w:p>
    <w:p>
      <w:pPr>
        <w:pStyle w:val="Style37"/>
        <w:rPr>
          <w:rFonts w:eastAsia="Arial Unicode MS"/>
        </w:rPr>
      </w:pPr>
      <w:r>
        <w:rPr/>
        <w:t>- оформлять бухгалтерскими проводками начисления и перечисления сумм налогов, сборов, страховых взносов;</w:t>
      </w:r>
    </w:p>
    <w:p>
      <w:pPr>
        <w:pStyle w:val="Style37"/>
        <w:rPr>
          <w:rFonts w:eastAsia="Arial Unicode MS"/>
        </w:rPr>
      </w:pPr>
      <w:r>
        <w:rPr/>
        <w:t>-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</w:r>
    </w:p>
    <w:p>
      <w:pPr>
        <w:pStyle w:val="Style37"/>
        <w:rPr>
          <w:rFonts w:eastAsia="Arial Unicode MS"/>
        </w:rPr>
      </w:pPr>
      <w:r>
        <w:rPr/>
        <w:t>- выбирать и применять коды бюджетной классификации для определения налогов, сборов и страховых взносов, а также пеней и штрафов;</w:t>
      </w:r>
    </w:p>
    <w:p>
      <w:pPr>
        <w:pStyle w:val="Style37"/>
        <w:rPr>
          <w:rFonts w:eastAsia="Arial Unicode MS"/>
        </w:rPr>
      </w:pPr>
      <w:r>
        <w:rPr/>
        <w:t>- соблюдать сроки и порядок начисления и уплаты налогов, сборов и страховых взносов;</w:t>
      </w:r>
    </w:p>
    <w:p>
      <w:pPr>
        <w:pStyle w:val="Style37"/>
        <w:rPr>
          <w:rFonts w:eastAsia="Arial Unicode MS"/>
        </w:rPr>
      </w:pPr>
      <w:r>
        <w:rPr/>
        <w:t>-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</w:r>
    </w:p>
    <w:p>
      <w:pPr>
        <w:pStyle w:val="Style37"/>
        <w:rPr>
          <w:rFonts w:eastAsia="Arial Unicode MS"/>
        </w:rPr>
      </w:pPr>
      <w:r>
        <w:rPr/>
        <w:t>- выполнять контрольные процедуры в целях обеспечения соблюдения законодательства о налогах, сборах и страховых взносах;</w:t>
      </w:r>
    </w:p>
    <w:p>
      <w:pPr>
        <w:pStyle w:val="Style37"/>
        <w:rPr>
          <w:rFonts w:eastAsia="Arial Unicode MS"/>
        </w:rPr>
      </w:pPr>
      <w:r>
        <w:rPr/>
        <w:t>-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</w:r>
    </w:p>
    <w:p>
      <w:pPr>
        <w:pStyle w:val="Style37"/>
        <w:rPr>
          <w:rFonts w:eastAsia="Arial Unicode MS"/>
        </w:rPr>
      </w:pPr>
      <w:r>
        <w:rPr/>
        <w:t>- оценивать правильность проведения и учета финансово – хозяйственных операций;</w:t>
      </w:r>
    </w:p>
    <w:p>
      <w:pPr>
        <w:pStyle w:val="Style37"/>
        <w:rPr>
          <w:rFonts w:eastAsia="Arial Unicode MS"/>
        </w:rPr>
      </w:pPr>
      <w:r>
        <w:rPr/>
        <w:t>- вырабатывать по результатам внутреннего контроля эффективные рекомендации по устранению выявленных нарушений налогового законодательства;</w:t>
      </w:r>
    </w:p>
    <w:p>
      <w:pPr>
        <w:pStyle w:val="Normal"/>
        <w:spacing w:before="0" w:after="0"/>
        <w:ind w:right="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использовать программное обеспечение в налоговых расчетах.</w:t>
      </w:r>
    </w:p>
    <w:p>
      <w:pPr>
        <w:pStyle w:val="Normal"/>
        <w:ind w:right="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знать:</w:t>
      </w:r>
    </w:p>
    <w:p>
      <w:pPr>
        <w:pStyle w:val="Style37"/>
        <w:rPr>
          <w:rFonts w:eastAsia="Arial Unicode MS"/>
        </w:rPr>
      </w:pPr>
      <w:r>
        <w:rPr/>
        <w:t>- законодательство и иные нормативные правовые акты о налогах, сборах и страховых взносах;</w:t>
      </w:r>
    </w:p>
    <w:p>
      <w:pPr>
        <w:pStyle w:val="Style37"/>
        <w:rPr>
          <w:rFonts w:eastAsia="Arial Unicode MS"/>
        </w:rPr>
      </w:pPr>
      <w:r>
        <w:rPr/>
        <w:t xml:space="preserve">- нормативные правовые акты, определяющие порядок исчисления и уплаты налоговых и других обязательных </w:t>
      </w:r>
    </w:p>
    <w:p>
      <w:pPr>
        <w:pStyle w:val="Style37"/>
        <w:rPr>
          <w:rFonts w:eastAsia="Arial Unicode MS"/>
        </w:rPr>
      </w:pPr>
      <w:r>
        <w:rPr/>
        <w:t>платежей в бюджеты бюджетной системы Российской Федерации;</w:t>
      </w:r>
    </w:p>
    <w:p>
      <w:pPr>
        <w:pStyle w:val="Style37"/>
        <w:rPr>
          <w:rFonts w:eastAsia="Arial Unicode MS"/>
        </w:rPr>
      </w:pPr>
      <w:r>
        <w:rPr/>
        <w:t>- нормативные правовые акты, регулирующие отношения в области организации налогового контроля;</w:t>
      </w:r>
    </w:p>
    <w:p>
      <w:pPr>
        <w:pStyle w:val="Style37"/>
        <w:rPr>
          <w:rFonts w:eastAsia="Arial Unicode MS"/>
        </w:rPr>
      </w:pPr>
      <w:r>
        <w:rPr/>
        <w:t xml:space="preserve">порядок формирования налоговой базы для исчисления и уплаты налогов, сборов и страховых взносов;  </w:t>
      </w:r>
    </w:p>
    <w:p>
      <w:pPr>
        <w:pStyle w:val="Style37"/>
        <w:rPr>
          <w:rFonts w:eastAsia="Arial Unicode MS"/>
        </w:rPr>
      </w:pPr>
      <w:r>
        <w:rPr/>
        <w:t>- элементы налогообложения, источники уплаты налогов, сборов и страховых взносов;</w:t>
      </w:r>
    </w:p>
    <w:p>
      <w:pPr>
        <w:pStyle w:val="Style37"/>
        <w:rPr>
          <w:rFonts w:eastAsia="Arial Unicode MS"/>
        </w:rPr>
      </w:pPr>
      <w:r>
        <w:rPr/>
        <w:t>- порядок формирования базы для расчетов страховых взносов в бюджеты государственных внебюджетных фондов Российской Федерации;</w:t>
      </w:r>
    </w:p>
    <w:p>
      <w:pPr>
        <w:pStyle w:val="Style37"/>
        <w:rPr>
          <w:rFonts w:eastAsia="Arial Unicode MS"/>
        </w:rPr>
      </w:pPr>
      <w:r>
        <w:rPr/>
        <w:t>- ставки налогов и сборов, тарифы страховых взносов;</w:t>
      </w:r>
    </w:p>
    <w:p>
      <w:pPr>
        <w:pStyle w:val="Style37"/>
        <w:rPr>
          <w:rFonts w:eastAsia="Arial Unicode MS"/>
        </w:rPr>
      </w:pPr>
      <w:r>
        <w:rPr/>
        <w:t>- налоговые льготы, используемые при определении налоговой базы и исчислении налогов и сборов;</w:t>
      </w:r>
    </w:p>
    <w:p>
      <w:pPr>
        <w:pStyle w:val="Style37"/>
        <w:rPr>
          <w:rFonts w:eastAsia="Arial Unicode MS"/>
        </w:rPr>
      </w:pPr>
      <w:r>
        <w:rPr/>
        <w:t>- порядок исчисления и перечисления в бюджет налогов, сборов и страховых взносов и сроки их уплаты;</w:t>
      </w:r>
    </w:p>
    <w:p>
      <w:pPr>
        <w:pStyle w:val="Style37"/>
        <w:rPr>
          <w:rFonts w:eastAsia="Arial Unicode MS"/>
        </w:rPr>
      </w:pPr>
      <w:r>
        <w:rPr/>
        <w:t>-порядок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>
      <w:pPr>
        <w:pStyle w:val="Style37"/>
        <w:rPr>
          <w:rFonts w:eastAsia="Arial Unicode MS"/>
        </w:rPr>
      </w:pPr>
      <w:r>
        <w:rPr/>
        <w:t>- порядок формирования и представления налоговой отчетности;</w:t>
      </w:r>
    </w:p>
    <w:p>
      <w:pPr>
        <w:pStyle w:val="Style37"/>
        <w:rPr>
          <w:rFonts w:eastAsia="Arial Unicode MS"/>
        </w:rPr>
      </w:pPr>
      <w:r>
        <w:rPr/>
        <w:t>- порядок формирования и представления отчетности по уплате страховых взносов;</w:t>
      </w:r>
    </w:p>
    <w:p>
      <w:pPr>
        <w:pStyle w:val="Style37"/>
        <w:rPr>
          <w:rFonts w:eastAsia="Arial Unicode MS"/>
        </w:rPr>
      </w:pPr>
      <w:r>
        <w:rPr/>
        <w:t>- порядок проведения налогового контроля в форме налогового мониторинга;</w:t>
      </w:r>
    </w:p>
    <w:p>
      <w:pPr>
        <w:pStyle w:val="Style37"/>
        <w:rPr>
          <w:rFonts w:eastAsia="Arial Unicode MS"/>
        </w:rPr>
      </w:pPr>
      <w:r>
        <w:rPr/>
        <w:t>- коды бюджетной классификации для определенных налогов, сборов и страховых взносов, а также пеней и штрафов;</w:t>
      </w:r>
    </w:p>
    <w:p>
      <w:pPr>
        <w:pStyle w:val="Style37"/>
        <w:rPr>
          <w:rFonts w:eastAsia="Arial Unicode MS"/>
        </w:rPr>
      </w:pPr>
      <w:r>
        <w:rPr/>
        <w:t>- порядок заполнения налоговых деклараций и расчетов и сроки их представления;</w:t>
      </w:r>
    </w:p>
    <w:p>
      <w:pPr>
        <w:pStyle w:val="Style37"/>
        <w:rPr>
          <w:rFonts w:eastAsia="Arial Unicode MS"/>
        </w:rPr>
      </w:pPr>
      <w:r>
        <w:rPr/>
        <w:t>- методику расчетов пеней и штрафов;</w:t>
      </w:r>
    </w:p>
    <w:p>
      <w:pPr>
        <w:pStyle w:val="Style37"/>
        <w:rPr>
          <w:rFonts w:eastAsia="Arial Unicode MS"/>
        </w:rPr>
      </w:pPr>
      <w:r>
        <w:rPr/>
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</w:r>
    </w:p>
    <w:p>
      <w:pPr>
        <w:pStyle w:val="Style37"/>
        <w:rPr>
          <w:rFonts w:eastAsia="Arial Unicode MS"/>
        </w:rPr>
      </w:pPr>
      <w:r>
        <w:rPr/>
        <w:t>- содержание, основные элементы и систему организации налогового контроля;</w:t>
      </w:r>
    </w:p>
    <w:p>
      <w:pPr>
        <w:pStyle w:val="Style37"/>
        <w:rPr>
          <w:rFonts w:eastAsia="Arial Unicode MS"/>
        </w:rPr>
      </w:pPr>
      <w:r>
        <w:rPr/>
        <w:t>- порядок проведения налогового контроля и меры ответственности за совершение налоговых правонарушений;</w:t>
      </w:r>
    </w:p>
    <w:p>
      <w:pPr>
        <w:pStyle w:val="Style37"/>
        <w:rPr>
          <w:rFonts w:eastAsia="Arial Unicode MS"/>
        </w:rPr>
      </w:pPr>
      <w:r>
        <w:rPr/>
        <w:t>- методику проведения камеральных и выездных налоговых проверок;</w:t>
      </w:r>
    </w:p>
    <w:p>
      <w:pPr>
        <w:pStyle w:val="Style37"/>
        <w:rPr>
          <w:rFonts w:eastAsia="Arial Unicode MS"/>
        </w:rPr>
      </w:pPr>
      <w:r>
        <w:rPr/>
        <w:t xml:space="preserve">- виды программного обеспечения, используемого при осуществлении расчетов по платежам в бюджеты бюджетной системы Российской Федерации.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1.4. Объекты прохождения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рактическая подготовка (производственной практики (по профилю специальности)) </w:t>
      </w:r>
      <w:r>
        <w:rPr>
          <w:rFonts w:cs="Times New Roman" w:ascii="Times New Roman" w:hAnsi="Times New Roman"/>
          <w:sz w:val="24"/>
          <w:szCs w:val="24"/>
        </w:rPr>
        <w:t xml:space="preserve">может проводиться на любых промышленных предприятиях, имеющих оборудование общего назначения. </w:t>
      </w:r>
    </w:p>
    <w:p>
      <w:pPr>
        <w:pStyle w:val="ListParagraph"/>
        <w:autoSpaceDE w:val="false"/>
        <w:spacing w:lineRule="auto" w:line="240" w:before="0"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1.5. Количество часов на освоение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–36 часов.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>2.</w:t>
      </w:r>
      <w:r>
        <w:rPr>
          <w:rFonts w:eastAsia="TimesNewRomanPSMT;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Структура и содержание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-180" w:firstLine="36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</w:r>
    </w:p>
    <w:tbl>
      <w:tblPr>
        <w:tblW w:w="1014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397"/>
        <w:gridCol w:w="1984"/>
        <w:gridCol w:w="1134"/>
        <w:gridCol w:w="2101"/>
      </w:tblGrid>
      <w:tr>
        <w:trPr/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Код и наименование ПК, ОК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Виды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Содержание работ практики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Количество часов по видам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работ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</w:rPr>
              <w:t>Форма контроля</w:t>
            </w:r>
          </w:p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ПК 2.1 </w:t>
            </w:r>
          </w:p>
          <w:p>
            <w:pPr>
              <w:pStyle w:val="Style37"/>
              <w:spacing w:lineRule="auto" w:line="276"/>
              <w:rPr/>
            </w:pPr>
            <w:r>
              <w:rPr/>
              <w:t>ОК01 – ОК06</w:t>
            </w:r>
          </w:p>
          <w:p>
            <w:pPr>
              <w:pStyle w:val="Style37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</w:rPr>
              <w:t>ЛР15 ЛР16</w:t>
            </w:r>
          </w:p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eastAsia="TimesNewRomanPSMT, 'Kozuka Minc;Times New Roman" w:cs="Times New Roman" w:ascii="Times New Roman" w:hAnsi="Times New Roman"/>
              </w:rPr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spacing w:lineRule="exact" w:line="196"/>
              <w:ind w:left="100" w:hanging="0"/>
              <w:jc w:val="left"/>
              <w:rPr>
                <w:rFonts w:ascii="Times New Roman" w:hAnsi="Times New Roman" w:eastAsia="TimesNewRomanPSMT, 'Kozuka Minc;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1.Инструктаж по прохождению практике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Проведение инструктажа по технике безопасности  и пожарной безопасности в организации.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center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autoSpaceDE w:val="false"/>
              <w:bidi w:val="0"/>
              <w:snapToGrid w:val="false"/>
              <w:jc w:val="left"/>
              <w:rPr>
                <w:rFonts w:ascii="Times New Roman" w:hAnsi="Times New Roman" w:eastAsia="TimesNewRomanPSMT, 'Kozuka Minc;Times New Roman" w:cs="Times New Roman"/>
                <w:bCs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Style37"/>
              <w:spacing w:lineRule="auto" w:line="276"/>
              <w:rPr>
                <w:u w:val="single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ЛР15 ЛР16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rPr>
                <w:u w:val="single"/>
              </w:rPr>
            </w:pPr>
            <w:r>
              <w:rPr/>
              <w:t>2. Ознакомиться со структурой организации. Ознакомиться с правилами внутреннего распорядка и техникой безопасности на рабочем месте.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sz w:val="24"/>
                <w:szCs w:val="24"/>
                <w:u w:val="single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Изучение должностных и прочих инструкций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Style37"/>
              <w:spacing w:lineRule="auto" w:line="276"/>
              <w:rPr>
                <w:u w:val="single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ЛР13 ЛР15 ЛР16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rPr>
                <w:u w:val="single"/>
              </w:rPr>
            </w:pPr>
            <w:r>
              <w:rPr/>
              <w:t>3.Ознакомиться с документами, подлежащими налоговому администрированию. Изучить состав налоговой отчетности и бухгалтерской (финансовой) отчетности, предоставляемой в налоговые органы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документов, подлежащих налоговому администрированию. Изучение состава налоговой отчетности и бухгалтерской (финансовой) отчетности, предоставляемой в налоговые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Style37"/>
              <w:spacing w:lineRule="auto" w:line="276"/>
              <w:rPr>
                <w:u w:val="single"/>
              </w:rPr>
            </w:pPr>
            <w:r>
              <w:rPr/>
              <w:t>ОК01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ЛР13 ЛР15 ЛР16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rPr>
                <w:u w:val="single"/>
              </w:rPr>
            </w:pPr>
            <w:r>
              <w:rPr/>
              <w:t xml:space="preserve">4. Изучить на практических примерах налогоплательщиков - организаций порядок исчисления и уплаты налога на добавленную стоимость, налога на прибыль организаций, налога на имущество организаций, транспортного налога в части уплаты налога организациями, земельного налога и других налогов, и сборов и порядок проведения камеральных проверок. 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sz w:val="24"/>
                <w:szCs w:val="24"/>
                <w:u w:val="single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Исчисление налогов и сборов по данным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Style37"/>
              <w:spacing w:lineRule="auto" w:line="276"/>
              <w:rPr>
                <w:u w:val="single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ЛР13 ЛР15 ЛР16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rPr>
                <w:u w:val="single"/>
              </w:rPr>
            </w:pPr>
            <w:r>
              <w:rPr/>
              <w:t>5. Изучить на практических примерах налогоплательщиков физических лиц порядок исчисления и уплаты налога на доходы физических лиц (НДФЛ), налога на имущество физических лиц, транспортного налога, земельного налога и других налогов, и сборов и порядок проведения камеральных проверок.</w:t>
            </w:r>
          </w:p>
          <w:p>
            <w:pPr>
              <w:pStyle w:val="Style37"/>
              <w:rPr>
                <w:u w:val="single"/>
              </w:rPr>
            </w:pPr>
            <w:r>
              <w:rPr/>
              <w:t>Изучить на практических примерах порядок исчисления страховых взносов во внебюджетные фонды.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sz w:val="24"/>
                <w:szCs w:val="24"/>
                <w:u w:val="single"/>
              </w:rPr>
            </w:pPr>
            <w:r>
              <w:rPr>
                <w:rFonts w:eastAsia="TimesNewRomanPSMT;MS Mincho"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Исчисление налогов и сборов по данным налогоплатель-щиков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 – 2.3</w:t>
            </w:r>
          </w:p>
          <w:p>
            <w:pPr>
              <w:pStyle w:val="Style37"/>
              <w:spacing w:lineRule="auto" w:line="276"/>
              <w:rPr>
                <w:u w:val="single"/>
              </w:rPr>
            </w:pPr>
            <w:r>
              <w:rPr/>
              <w:t xml:space="preserve">ОК01 – ОК06,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ОК09 – ОК11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ЛР13 ЛР15 ЛР16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ind w:right="-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Изучить на практических примерах порядок исчисления и сроки уплаты налогов, уплачиваемых налогоплательщиками – организациями и индивидуальными предпринимателями, перешедшими на специальные режимы налогообложения.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4220" w:leader="none"/>
              </w:tabs>
              <w:spacing w:lineRule="auto" w:line="240" w:before="0" w:after="0"/>
              <w:ind w:right="-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 xml:space="preserve">Исчисление налогов и сборов по данным налогоплательщиков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, 'Kozuka Minc;Times New Roman" w:cs="Times New Roman" w:ascii="Times New Roman" w:hAnsi="Times New Roman"/>
                <w:bCs/>
                <w:sz w:val="24"/>
                <w:szCs w:val="24"/>
              </w:rPr>
              <w:t>Проверка дневника, отчета</w:t>
            </w:r>
          </w:p>
        </w:tc>
      </w:tr>
      <w:tr>
        <w:trPr>
          <w:trHeight w:val="191" w:hRule="atLeast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NewRomanPSMT;MS Mincho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NewRomanPSMT;MS Mincho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sz w:val="24"/>
          <w:szCs w:val="24"/>
        </w:rPr>
      </w:pPr>
      <w:r>
        <w:rPr>
          <w:rFonts w:eastAsia="TimesNewRomanPSMT;MS Mincho"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3.План – задание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 ( по профилю специальности))   ПМ 02</w:t>
      </w:r>
      <w:r>
        <w:rPr>
          <w:rFonts w:cs="Times New Roman" w:ascii="Times New Roman" w:hAnsi="Times New Roman"/>
          <w:b/>
          <w:sz w:val="24"/>
          <w:szCs w:val="24"/>
        </w:rPr>
        <w:t xml:space="preserve"> «Ведение расчетов с бюджетами бюджетной системы Российской Федерации»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3.1.Общее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Style37"/>
        <w:rPr/>
      </w:pPr>
      <w:r>
        <w:rPr/>
        <w:t>- расчет федеральных налогов;</w:t>
      </w:r>
    </w:p>
    <w:p>
      <w:pPr>
        <w:pStyle w:val="Style37"/>
        <w:rPr/>
      </w:pPr>
      <w:r>
        <w:rPr/>
        <w:t>- расчет региональных налогов;</w:t>
      </w:r>
    </w:p>
    <w:p>
      <w:pPr>
        <w:pStyle w:val="Style37"/>
        <w:rPr/>
      </w:pPr>
      <w:r>
        <w:rPr/>
        <w:t>- расчет  местных налогов;</w:t>
      </w:r>
    </w:p>
    <w:p>
      <w:pPr>
        <w:pStyle w:val="Style37"/>
        <w:rPr/>
      </w:pPr>
      <w:r>
        <w:rPr/>
        <w:t>- составление налоговой отчетности;</w:t>
      </w:r>
    </w:p>
    <w:p>
      <w:pPr>
        <w:pStyle w:val="Style37"/>
        <w:rPr/>
      </w:pPr>
      <w:r>
        <w:rPr/>
        <w:t>- оформление Акта налоговой проверки;</w:t>
      </w:r>
    </w:p>
    <w:p>
      <w:pPr>
        <w:pStyle w:val="Style37"/>
        <w:rPr/>
      </w:pPr>
      <w:r>
        <w:rPr/>
        <w:t>- составление справки</w:t>
      </w:r>
      <w:r>
        <w:rPr>
          <w:u w:val="single"/>
        </w:rPr>
        <w:t xml:space="preserve"> </w:t>
      </w:r>
      <w:r>
        <w:rPr/>
        <w:t>о проведенной выездной налоговой проверке;</w:t>
      </w:r>
    </w:p>
    <w:p>
      <w:pPr>
        <w:pStyle w:val="Style37"/>
        <w:rPr>
          <w:u w:val="single"/>
        </w:rPr>
      </w:pPr>
      <w:r>
        <w:rPr/>
        <w:t>-  исчисление суммы пени.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3.2. Индивидуальное задание на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практическую подготовку (производственную практику ( по профилю специальности))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>
      <w:pPr>
        <w:pStyle w:val="Normal"/>
        <w:spacing w:before="0" w:after="0"/>
        <w:ind w:left="-180" w:right="-464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общим и индивидуальным заданиями.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3.3.Содержание отчёта по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подготовке (производственной практики ( по профилю специальности))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1.Краткая характеристика предприятия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2.Структура предприятия (описать функции должностных лиц, входящих в эту структуру)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Информация для расчета налогов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Расчеты по налогам и сборам</w:t>
      </w:r>
    </w:p>
    <w:p>
      <w:pPr>
        <w:pStyle w:val="Normal"/>
        <w:spacing w:before="0" w:after="0"/>
        <w:ind w:right="-464" w:hanging="0"/>
        <w:rPr/>
      </w:pPr>
      <w:r>
        <w:rPr>
          <w:rFonts w:cs="Times New Roman" w:ascii="Times New Roman" w:hAnsi="Times New Roman"/>
          <w:sz w:val="24"/>
          <w:szCs w:val="24"/>
        </w:rPr>
        <w:t>5. Налоговая  отчетность.</w:t>
      </w:r>
    </w:p>
    <w:p>
      <w:pPr>
        <w:pStyle w:val="Normal"/>
        <w:spacing w:before="0" w:after="0"/>
        <w:ind w:right="-4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</w:rPr>
        <w:t xml:space="preserve">4.Условия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jc w:val="center"/>
        <w:rPr>
          <w:rFonts w:ascii="Times New Roman" w:hAnsi="Times New Roman" w:eastAsia="TimesNewRomanPSMT;MS Mincho" w:cs="Times New Roman"/>
          <w:b/>
          <w:b/>
          <w:sz w:val="24"/>
          <w:szCs w:val="24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4.1.Материально-техническое обеспечение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Оборудование и технологическое оснащение рабочих мест должно соответствовать нормам и требованиям промышленных предприятий – баз практики.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Студент-практикант должен иметь  комплект</w:t>
      </w: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документов по производственной практике.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Noto Serif CJK SC;Times New Roman" w:cs="Times New Roman" w:ascii="Times New Roman" w:hAnsi="Times New Roman"/>
          <w:bCs/>
          <w:kern w:val="2"/>
          <w:sz w:val="24"/>
          <w:szCs w:val="24"/>
          <w:lang w:eastAsia="zh-CN" w:bidi="hi-IN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</w:rPr>
      </w:pPr>
      <w:r>
        <w:rPr>
          <w:b/>
        </w:rPr>
        <w:t>4.2.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литературы</w:t>
      </w:r>
    </w:p>
    <w:p>
      <w:pPr>
        <w:pStyle w:val="Style32"/>
        <w:spacing w:before="0" w:after="0"/>
        <w:ind w:left="0" w:hanging="0"/>
        <w:contextualSpacing/>
        <w:rPr/>
      </w:pPr>
      <w:r>
        <w:rPr>
          <w:u w:val="single"/>
        </w:rPr>
        <w:t>Нормативно-правовые акты</w:t>
      </w:r>
      <w:r>
        <w:rPr>
          <w:rStyle w:val="Style19"/>
          <w:rStyle w:val="Style19"/>
          <w:u w:val="single"/>
        </w:rPr>
        <w:footnoteReference w:id="2"/>
      </w:r>
      <w:r>
        <w:rPr>
          <w:u w:val="single"/>
        </w:rPr>
        <w:t>: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Конституция Российской Федерации.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Гражданский кодекс Российской Федерации, ч. 1, 2, 3, 4 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Налоговый кодекс Российской Федерации, ч. 1, 2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Бюджетный кодекс Российской Федерации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Кодекс Российской Федерации об административных правонарушениях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Уголовный кодекс Российской Федерации 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Земельный кодекс Российской Федерации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«О федеральном бюджете на очередной финансовый год и плановый период».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от 08.08.2001№129 – ФЗ «О государственной регистрации юридических лиц и индивидуальных предпринимателей»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Закон Российской Федерации от 21.03.1991 №943-1«О налоговых органах Российской Федерации» ( 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от 15.12.2001 г. №167–ФЗ «Об обязательном пенсионном страховании в Российской Федерации»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16.07.1999 №165-ФЗ «Об основах обязательного социального страхования»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29.11.2010 №326-ФЗ «Об обязательном медицинском страховании в Российской Федерации»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18.07.2011 №223-ФЗ «О закупках товаров, работ, услуг отдельными видами юридических лиц»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Постановление Правительства Российской Федерации от 30.06.2004 №329 «О Министерстве Финансов Российской Федерации»(в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Постановление Правительства Российской Федерации от 30.09.2004 №506 «Об утверждении Положения о Федеральной налоговой службе»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01.07.2013 №65н «Об утверждении Указаний о порядке применения бюджетной классификации Российской Федерации».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17.07.2014 №61н «Об утверждении Типовых положений о территориальных органах Федеральной налоговой службы» ( 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29.10.2014г. №ММВ-7 -3/558@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19.10.2016г. №ММВ -7 – 3/572@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 (в действующей редакции).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31.03.2017г. №ММВ -7 – 21/271@ «Об утверждении форм и форматов представления налоговой декларации по налогу на имущество организацийи налогового расчета по авансовому платежупо налогу на имущество организаций в электронной форме и порядков ее заполнения»(в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14.05.2015г. №ММВ -7 – 3/197@ 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14.10.2015г. №ММВ -7 – 11/450@ «Об утверждении формы расчета сумм налога на доходы физических лиц, исчисленных и удержанных налоговым агентом ( форма 6-НДФЛ), порядка ее заполнения и  представления, а также формата представления расчета сумм налога на доходы физических лиц, исчисленных и удержанных налоговым агентом в электронной форме»(в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09.11.2015г. №ММВ -7 – 3/497@ «Об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форме»(в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05.12.2016г. №ММВ -7 – 21/668@ «Об утверждении формы и формата представления налоговой декларации по транспортному налогув электронной форме и порядка ее заполнения»(в действующей редакции).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10.05.2017г. №ММВ -7 – 21/347@ «Об утверждении формы и формата представления налоговой декларации по земельному налогув электронной форме и порядка ее заполнения, а также признании утратившим силу приказа федеральной налоговой службы от 28.10.2011 №ММВ-7-11/696@» (в действующей редакции).</w:t>
      </w:r>
    </w:p>
    <w:p>
      <w:pPr>
        <w:pStyle w:val="Style38"/>
        <w:spacing w:lineRule="auto" w:line="240"/>
        <w:ind w:firstLine="709"/>
        <w:rPr/>
      </w:pPr>
      <w:r>
        <w:rPr/>
        <w:t>Основные издания: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Пансков В. Г., Налоги и налогообложение : учебник и практикум для СПО / В. Г. Пансков/. — 6-е изд., пер. и доп. — М. : Издательство Юрайт, 2018. — 436 с. </w:t>
      </w:r>
    </w:p>
    <w:p>
      <w:pPr>
        <w:pStyle w:val="Style38"/>
        <w:numPr>
          <w:ilvl w:val="0"/>
          <w:numId w:val="4"/>
        </w:numPr>
        <w:spacing w:lineRule="auto" w:line="240"/>
        <w:ind w:left="0" w:firstLine="709"/>
        <w:rPr/>
      </w:pPr>
      <w:r>
        <w:rPr/>
        <w:t>Налоги и налогообложение: учебник и практикум для СПО / под ред. Г. Б. Поляка, Е.Е. Смирновой./ 3-е изд., перераб. и доп. — М. : Издательство Юрайт, 2018. — 385 с.</w:t>
      </w:r>
    </w:p>
    <w:p>
      <w:pPr>
        <w:pStyle w:val="Style38"/>
        <w:widowControl w:val="false"/>
        <w:numPr>
          <w:ilvl w:val="0"/>
          <w:numId w:val="4"/>
        </w:numPr>
        <w:spacing w:lineRule="auto" w:line="240"/>
        <w:ind w:left="0" w:firstLine="709"/>
        <w:rPr>
          <w:rFonts w:eastAsia="SimSun;宋体"/>
          <w:b/>
          <w:b/>
          <w:bCs/>
          <w:kern w:val="2"/>
        </w:rPr>
      </w:pPr>
      <w:r>
        <w:rPr/>
        <w:t xml:space="preserve">Налоги и налогообложение: учебник и практикум для СПО / под ред. Д. Г. Черника, Ю. Д. Шмелева. — 3-е изд., перераб. и доп. — М. : Издательство Юрайт, 2018. — 408 с. </w:t>
      </w:r>
    </w:p>
    <w:p>
      <w:pPr>
        <w:pStyle w:val="Style38"/>
        <w:widowControl w:val="false"/>
        <w:spacing w:lineRule="auto" w:line="240"/>
        <w:ind w:firstLine="709"/>
        <w:rPr>
          <w:rFonts w:eastAsia="SimSun;宋体"/>
          <w:b/>
          <w:b/>
          <w:bCs/>
          <w:kern w:val="2"/>
        </w:rPr>
      </w:pPr>
      <w:r>
        <w:rPr>
          <w:rFonts w:eastAsia="SimSun;宋体"/>
          <w:b/>
          <w:bCs/>
          <w:kern w:val="2"/>
        </w:rPr>
        <w:t>Электронные издания (электронные ресурсы):</w:t>
      </w:r>
    </w:p>
    <w:p>
      <w:pPr>
        <w:pStyle w:val="Style38"/>
        <w:numPr>
          <w:ilvl w:val="0"/>
          <w:numId w:val="2"/>
        </w:numPr>
        <w:spacing w:lineRule="auto" w:line="240"/>
        <w:ind w:left="0" w:firstLine="709"/>
        <w:rPr/>
      </w:pPr>
      <w:hyperlink r:id="rId2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en-US"/>
          </w:rPr>
          <w:t>www</w:t>
        </w:r>
        <w:r>
          <w:rPr>
            <w:szCs w:val="28"/>
          </w:rPr>
          <w:t>.</w:t>
        </w:r>
        <w:r>
          <w:rPr>
            <w:szCs w:val="28"/>
            <w:lang w:val="en-US"/>
          </w:rPr>
          <w:t>nalog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/>
        <w:t xml:space="preserve"> -  Официальный сайт Федеральной налоговой службы </w:t>
      </w:r>
    </w:p>
    <w:p>
      <w:pPr>
        <w:pStyle w:val="Style38"/>
        <w:numPr>
          <w:ilvl w:val="0"/>
          <w:numId w:val="2"/>
        </w:numPr>
        <w:spacing w:lineRule="auto" w:line="240"/>
        <w:ind w:left="0" w:firstLine="709"/>
        <w:rPr/>
      </w:pPr>
      <w:hyperlink r:id="rId3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– Официальный сайт Министерства финансов Российской Федерации</w:t>
      </w:r>
    </w:p>
    <w:p>
      <w:pPr>
        <w:pStyle w:val="Style38"/>
        <w:numPr>
          <w:ilvl w:val="0"/>
          <w:numId w:val="2"/>
        </w:numPr>
        <w:spacing w:lineRule="auto" w:line="240"/>
        <w:ind w:left="0" w:firstLine="709"/>
        <w:rPr/>
      </w:pPr>
      <w:hyperlink r:id="rId4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- Справочно-правовая система «Консультант Плюс»</w:t>
      </w:r>
    </w:p>
    <w:p>
      <w:pPr>
        <w:pStyle w:val="Style38"/>
        <w:numPr>
          <w:ilvl w:val="0"/>
          <w:numId w:val="2"/>
        </w:numPr>
        <w:spacing w:lineRule="auto" w:line="240"/>
        <w:ind w:left="0" w:firstLine="709"/>
        <w:rPr/>
      </w:pPr>
      <w:hyperlink r:id="rId5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garant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>
          <w:rStyle w:val="Style20"/>
          <w:bCs/>
        </w:rPr>
        <w:t>- Справочно</w:t>
      </w:r>
      <w:r>
        <w:rPr/>
        <w:t xml:space="preserve">-правовая система «Гарант». 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autoSpaceDE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eastAsia="TimesNewRomanPSMT;MS Mincho" w:cs="Times New Roman" w:ascii="Times New Roman" w:hAnsi="Times New Roman"/>
          <w:b/>
          <w:sz w:val="24"/>
          <w:szCs w:val="28"/>
        </w:rPr>
        <w:t xml:space="preserve">Контроль и оценка результатов </w:t>
      </w:r>
      <w:r>
        <w:rPr>
          <w:rFonts w:cs="Times New Roman" w:ascii="Times New Roman" w:hAnsi="Times New Roman"/>
          <w:b/>
          <w:sz w:val="24"/>
          <w:szCs w:val="28"/>
          <w:lang w:eastAsia="ru-RU"/>
        </w:rPr>
        <w:t>практической подготовки (производственной практики ( по профилю специальности))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erif CJK SC;Times New Roman" w:cs="Lohit Devanagari;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Дифференцированный зачет по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ru-RU" w:bidi="hi-IN"/>
        </w:rPr>
        <w:t>практической подготовке (производственной практики ( по профилю специальности))</w:t>
      </w:r>
      <w:r>
        <w:rPr>
          <w:rFonts w:eastAsia="Noto Serif CJK SC;Times New Roman" w:cs="Times New Roman" w:ascii="Times New Roman" w:hAnsi="Times New Roman"/>
          <w:b/>
          <w:kern w:val="2"/>
          <w:sz w:val="24"/>
          <w:szCs w:val="24"/>
          <w:lang w:eastAsia="ru-RU" w:bidi="hi-IN"/>
        </w:rPr>
        <w:t xml:space="preserve"> </w:t>
      </w:r>
      <w:r>
        <w:rPr>
          <w:rFonts w:eastAsia="Noto Serif CJK SC;Times New Roman" w:cs="Times New Roman" w:ascii="Times New Roman" w:hAnsi="Times New Roman"/>
          <w:kern w:val="2"/>
          <w:sz w:val="24"/>
          <w:szCs w:val="24"/>
          <w:lang w:eastAsia="zh-CN" w:bidi="hi-IN"/>
        </w:rPr>
        <w:t>выставляется на основании письменного отчета в соответствии с заданием, дневника практики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>
      <w:pPr>
        <w:pStyle w:val="ListParagraph"/>
        <w:autoSpaceDE w:val="false"/>
        <w:spacing w:lineRule="auto" w:line="240" w:before="0" w:after="0"/>
        <w:contextualSpacing/>
        <w:jc w:val="both"/>
        <w:rPr>
          <w:rFonts w:ascii="Times New Roman" w:hAnsi="Times New Roman" w:eastAsia="Noto Serif CJK SC;Times New Roman" w:cs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Noto Serif CJK SC;Times New Roman" w:cs="Times New Roman" w:ascii="Times New Roman" w:hAnsi="Times New Roman"/>
          <w:b/>
          <w:kern w:val="2"/>
          <w:sz w:val="28"/>
          <w:szCs w:val="28"/>
          <w:lang w:eastAsia="ru-RU" w:bidi="hi-IN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2"/>
        <w:keepNext w:val="true"/>
        <w:keepLines/>
        <w:spacing w:lineRule="auto" w:line="240"/>
        <w:jc w:val="center"/>
        <w:rPr>
          <w:sz w:val="24"/>
        </w:rPr>
      </w:pPr>
      <w:r>
        <w:rPr>
          <w:sz w:val="24"/>
        </w:rPr>
        <w:t>АТТЕСТАЦИОННЫЙ ЛИСТ ПО ИТОГАМ ПРОХОЖДЕНИЯ</w:t>
      </w:r>
    </w:p>
    <w:p>
      <w:pPr>
        <w:pStyle w:val="12"/>
        <w:keepNext w:val="true"/>
        <w:keepLines/>
        <w:spacing w:lineRule="auto" w:line="240"/>
        <w:jc w:val="center"/>
        <w:rPr>
          <w:sz w:val="24"/>
        </w:rPr>
      </w:pPr>
      <w:r>
        <w:rPr>
          <w:sz w:val="24"/>
        </w:rPr>
        <w:t xml:space="preserve">ПРОИЗВОДСТВЕННОЙ ПРАКТИКИ </w:t>
      </w:r>
    </w:p>
    <w:p>
      <w:pPr>
        <w:pStyle w:val="12"/>
        <w:keepNext w:val="true"/>
        <w:keepLines/>
        <w:spacing w:lineRule="auto" w:line="240"/>
        <w:jc w:val="center"/>
        <w:rPr>
          <w:sz w:val="24"/>
        </w:rPr>
      </w:pPr>
      <w:r>
        <w:rPr>
          <w:sz w:val="24"/>
        </w:rPr>
        <w:t>(ПО ПРОФИЛЮ СПЕЦИАЛЬНОСТИ)</w:t>
      </w:r>
    </w:p>
    <w:p>
      <w:pPr>
        <w:pStyle w:val="27"/>
        <w:keepNext w:val="true"/>
        <w:keepLines/>
        <w:tabs>
          <w:tab w:val="clear" w:pos="708"/>
          <w:tab w:val="left" w:pos="1829" w:leader="underscore"/>
          <w:tab w:val="left" w:pos="8136" w:leader="underscore"/>
        </w:tabs>
        <w:spacing w:lineRule="auto" w:line="240"/>
        <w:jc w:val="left"/>
        <w:rPr>
          <w:sz w:val="24"/>
        </w:rPr>
      </w:pPr>
      <w:r>
        <w:rPr>
          <w:sz w:val="24"/>
        </w:rPr>
        <w:t>_____________________________________________________</w:t>
      </w:r>
    </w:p>
    <w:p>
      <w:pPr>
        <w:pStyle w:val="31"/>
        <w:spacing w:lineRule="auto" w:line="240"/>
        <w:rPr/>
      </w:pPr>
      <w:r>
        <w:rPr>
          <w:sz w:val="22"/>
          <w:szCs w:val="24"/>
          <w:u w:val="single"/>
        </w:rPr>
        <w:t xml:space="preserve">студент  2 курса, группа  21   </w:t>
      </w:r>
      <w:r>
        <w:rPr>
          <w:sz w:val="22"/>
        </w:rPr>
        <w:t>специальность</w:t>
      </w:r>
      <w:bookmarkStart w:id="0" w:name="_GoBack"/>
      <w:bookmarkEnd w:id="0"/>
      <w:r>
        <w:rPr>
          <w:sz w:val="22"/>
        </w:rPr>
        <w:t xml:space="preserve">   38.02.06 «Финансы»</w:t>
      </w:r>
    </w:p>
    <w:p>
      <w:pPr>
        <w:pStyle w:val="31"/>
        <w:spacing w:lineRule="auto" w:line="240"/>
        <w:rPr>
          <w:sz w:val="22"/>
        </w:rPr>
      </w:pPr>
      <w:r>
        <w:rPr>
          <w:sz w:val="22"/>
        </w:rPr>
      </w:r>
    </w:p>
    <w:p>
      <w:pPr>
        <w:pStyle w:val="31"/>
        <w:spacing w:lineRule="auto" w:line="240"/>
        <w:rPr>
          <w:sz w:val="22"/>
          <w:szCs w:val="24"/>
          <w:u w:val="single"/>
        </w:rPr>
      </w:pPr>
      <w:r>
        <w:rPr>
          <w:sz w:val="22"/>
          <w:szCs w:val="24"/>
        </w:rPr>
        <w:t>Успешно прошел производственную практику по профессиональному модулю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ПМ.02 «Ведение расчетов с бюджетами бюджетной системы Российской Федерации» 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32"/>
        <w:spacing w:lineRule="auto" w:line="240"/>
        <w:jc w:val="left"/>
        <w:rPr>
          <w:sz w:val="22"/>
          <w:szCs w:val="24"/>
          <w:u w:val="single"/>
        </w:rPr>
      </w:pPr>
      <w:r>
        <w:rPr>
          <w:rStyle w:val="22"/>
          <w:sz w:val="22"/>
          <w:szCs w:val="24"/>
        </w:rPr>
        <w:t xml:space="preserve">в объеме  </w:t>
      </w:r>
      <w:r>
        <w:rPr>
          <w:rStyle w:val="22"/>
          <w:sz w:val="22"/>
          <w:szCs w:val="24"/>
          <w:u w:val="single"/>
        </w:rPr>
        <w:t>_____36__ч.</w:t>
      </w:r>
    </w:p>
    <w:p>
      <w:pPr>
        <w:pStyle w:val="32"/>
        <w:spacing w:lineRule="auto" w:line="240"/>
        <w:jc w:val="left"/>
        <w:rPr>
          <w:sz w:val="22"/>
          <w:szCs w:val="24"/>
        </w:rPr>
      </w:pPr>
      <w:r>
        <w:rPr>
          <w:rStyle w:val="22"/>
          <w:sz w:val="22"/>
          <w:szCs w:val="24"/>
        </w:rPr>
        <w:t>в период с  __________________.202  г. по  _______________________.202  г.</w:t>
      </w:r>
    </w:p>
    <w:p>
      <w:pPr>
        <w:pStyle w:val="32"/>
        <w:spacing w:lineRule="auto" w:line="240"/>
        <w:jc w:val="left"/>
        <w:rPr>
          <w:sz w:val="22"/>
          <w:szCs w:val="24"/>
          <w:u w:val="single"/>
          <w:lang w:val="ru-RU" w:eastAsia="ru-RU"/>
        </w:rPr>
      </w:pPr>
      <w:r>
        <w:rPr>
          <w:sz w:val="22"/>
          <w:szCs w:val="24"/>
          <w:u w:val="single"/>
          <w:lang w:val="ru-RU" w:eastAsia="ru-RU"/>
        </w:rPr>
      </w:r>
    </w:p>
    <w:p>
      <w:pPr>
        <w:pStyle w:val="32"/>
        <w:spacing w:lineRule="auto" w:line="240"/>
        <w:jc w:val="left"/>
        <w:rPr>
          <w:sz w:val="22"/>
          <w:szCs w:val="24"/>
          <w:lang w:val="ru-RU" w:eastAsia="ru-RU"/>
        </w:rPr>
      </w:pPr>
      <w:r>
        <w:rPr>
          <w:sz w:val="22"/>
          <w:szCs w:val="24"/>
          <w:u w:val="single"/>
          <w:lang w:val="ru-RU" w:eastAsia="ru-RU"/>
        </w:rPr>
        <w:t>_____________________________________________________________________________</w:t>
      </w:r>
    </w:p>
    <w:p>
      <w:pPr>
        <w:pStyle w:val="32"/>
        <w:spacing w:lineRule="auto" w:line="240"/>
        <w:jc w:val="center"/>
        <w:rPr/>
      </w:pPr>
      <w:r>
        <w:rPr>
          <w:rStyle w:val="22"/>
          <w:sz w:val="22"/>
          <w:szCs w:val="24"/>
        </w:rPr>
        <w:t>наименование предприятия, организации (структурное подразделение: отдел, участок и т.д.)</w:t>
      </w:r>
    </w:p>
    <w:p>
      <w:pPr>
        <w:pStyle w:val="32"/>
        <w:spacing w:lineRule="auto" w:line="240"/>
        <w:jc w:val="center"/>
        <w:rPr/>
      </w:pPr>
      <w:r>
        <w:rPr>
          <w:rStyle w:val="22"/>
          <w:sz w:val="22"/>
          <w:szCs w:val="24"/>
        </w:rPr>
        <w:t xml:space="preserve">Виды и качество выполнения работ в период прохождения </w:t>
      </w:r>
      <w:r>
        <w:rPr>
          <w:sz w:val="22"/>
          <w:szCs w:val="24"/>
        </w:rPr>
        <w:t>производственной</w:t>
      </w:r>
    </w:p>
    <w:p>
      <w:pPr>
        <w:pStyle w:val="Style39"/>
        <w:spacing w:lineRule="auto" w:line="240"/>
        <w:jc w:val="center"/>
        <w:rPr/>
      </w:pPr>
      <w:r>
        <w:rPr>
          <w:rStyle w:val="22"/>
          <w:sz w:val="22"/>
          <w:szCs w:val="24"/>
        </w:rPr>
        <w:t>практики обучающимся:</w:t>
      </w:r>
    </w:p>
    <w:p>
      <w:pPr>
        <w:pStyle w:val="Style39"/>
        <w:spacing w:lineRule="auto" w:line="240"/>
        <w:jc w:val="center"/>
        <w:rPr>
          <w:rStyle w:val="22"/>
          <w:sz w:val="20"/>
          <w:szCs w:val="24"/>
        </w:rPr>
      </w:pPr>
      <w:r>
        <w:rPr/>
      </w:r>
    </w:p>
    <w:tbl>
      <w:tblPr>
        <w:tblW w:w="976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228"/>
        <w:gridCol w:w="5670"/>
        <w:gridCol w:w="1276"/>
        <w:gridCol w:w="1144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№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ОК и ПК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Оценка выполнен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(удовл., хор.,отл.)/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2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rStyle w:val="22"/>
                <w:sz w:val="22"/>
                <w:szCs w:val="24"/>
              </w:rPr>
              <w:t>Подпись</w:t>
            </w:r>
          </w:p>
          <w:p>
            <w:pPr>
              <w:pStyle w:val="32"/>
              <w:spacing w:lineRule="auto" w:line="240"/>
              <w:jc w:val="center"/>
              <w:rPr>
                <w:sz w:val="22"/>
                <w:szCs w:val="24"/>
              </w:rPr>
            </w:pPr>
            <w:r>
              <w:rPr>
                <w:rStyle w:val="22"/>
                <w:sz w:val="22"/>
                <w:szCs w:val="24"/>
              </w:rPr>
              <w:t>руководителя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22"/>
                <w:rFonts w:eastAsia="Courier New"/>
                <w:szCs w:val="24"/>
              </w:rPr>
              <w:t>практики</w:t>
            </w:r>
          </w:p>
        </w:tc>
      </w:tr>
      <w:tr>
        <w:trPr>
          <w:trHeight w:val="741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 w:ascii="Times New Roman" w:hAnsi="Times New Roman"/>
                <w:szCs w:val="26"/>
              </w:rPr>
              <w:t>ОК 1-3, 5-7,9, 10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6"/>
              </w:rPr>
              <w:t xml:space="preserve">ПК 1.1.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Изучить законодательную базу по расчету и уплате  налогов и сборов в бюджеты бюджетной системы Российской Федерации.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6"/>
              </w:rPr>
            </w:pPr>
            <w:r>
              <w:rPr>
                <w:rFonts w:eastAsia="Calibri" w:cs="Times New Roman" w:ascii="Times New Roman" w:hAnsi="Times New Roman"/>
                <w:sz w:val="24"/>
                <w:szCs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6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 w:ascii="Times New Roman" w:hAnsi="Times New Roman"/>
                <w:szCs w:val="26"/>
              </w:rPr>
              <w:t>ОК1-11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cs="Times New Roman" w:ascii="Times New Roman" w:hAnsi="Times New Roman"/>
                <w:szCs w:val="26"/>
              </w:rPr>
              <w:t>ПК 1.2.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hd w:fill="FFFFFF" w:val="clear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Определить  налоговую базу по НДС, применить налоговые ставки и налоговые вычеты. Заполнить налоговую декларацию по данным организации.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968" w:hRule="atLeas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 w:ascii="Times New Roman" w:hAnsi="Times New Roman"/>
                <w:szCs w:val="26"/>
              </w:rPr>
              <w:t>ОК 5-11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6"/>
              </w:rPr>
              <w:t>ПК 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Определить  налоговую базу по налогу на прибыль организаций, применить налоговые ставки и налоговые вычеты. Заполнить налоговую декларацию по данным организации.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4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 w:ascii="Times New Roman" w:hAnsi="Times New Roman"/>
                <w:szCs w:val="26"/>
              </w:rPr>
              <w:t>ОК 1-11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Cs w:val="26"/>
              </w:rPr>
              <w:t>ПК 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Изучить состав бухгалтерской отчетности и порядок ее составления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cs="Times New Roman" w:ascii="Times New Roman" w:hAnsi="Times New Roman"/>
                <w:sz w:val="20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 w:ascii="Times New Roman" w:hAnsi="Times New Roman"/>
                <w:szCs w:val="26"/>
              </w:rPr>
              <w:t>ОК 1-11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cs="Times New Roman" w:ascii="Times New Roman" w:hAnsi="Times New Roman"/>
                <w:szCs w:val="26"/>
              </w:rPr>
              <w:t>ПК 1.4.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Определить  страховые взносы, Заполнить отчетные формы по данным организации</w:t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производственная практика,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 xml:space="preserve">________________________________________________________________________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Руководитель производственной практики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/>
        </w:rPr>
        <w:t>____________                                                      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>(подпись)                                                    (Ф.И.О. должность)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Calibri" w:cs="Times New Roman" w:ascii="Times New Roman" w:hAnsi="Times New Roman"/>
        </w:rPr>
        <w:t>М.П.                                                                                     «____»___________________20___г</w:t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p>
      <w:pPr>
        <w:pStyle w:val="ListParagraph"/>
        <w:autoSpaceDE w:val="false"/>
        <w:spacing w:lineRule="auto" w:line="240" w:before="0" w:after="0"/>
        <w:ind w:left="-180" w:hanging="0"/>
        <w:contextualSpacing/>
        <w:rPr>
          <w:rFonts w:ascii="Times New Roman" w:hAnsi="Times New Roman" w:eastAsia="TimesNewRomanPSMT;MS Mincho" w:cs="Times New Roman"/>
          <w:b/>
          <w:b/>
          <w:sz w:val="28"/>
          <w:szCs w:val="28"/>
        </w:rPr>
      </w:pPr>
      <w:r>
        <w:rPr>
          <w:rFonts w:eastAsia="TimesNewRomanPSMT;MS Mincho" w:cs="Times New Roman" w:ascii="Times New Roman" w:hAnsi="Times New Roman"/>
          <w:b/>
          <w:sz w:val="28"/>
          <w:szCs w:val="28"/>
        </w:rPr>
      </w:r>
    </w:p>
    <w:sectPr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134" w:right="851" w:header="0" w:top="567" w:footer="709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spacing w:before="0" w:after="16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1625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5"/>
                            <w:spacing w:before="0" w:after="160"/>
                            <w:rPr>
                              <w:rStyle w:val="Style17"/>
                            </w:rPr>
                          </w:pPr>
                          <w:r>
                            <w:rPr>
                              <w:rStyle w:val="Style17"/>
                            </w:rPr>
                            <w:fldChar w:fldCharType="begin"/>
                          </w:r>
                          <w:r>
                            <w:rPr>
                              <w:rStyle w:val="Style17"/>
                            </w:rPr>
                            <w:instrText> PAGE </w:instrText>
                          </w:r>
                          <w:r>
                            <w:rPr>
                              <w:rStyle w:val="Style17"/>
                            </w:rPr>
                            <w:fldChar w:fldCharType="separate"/>
                          </w:r>
                          <w:r>
                            <w:rPr>
                              <w:rStyle w:val="Style17"/>
                            </w:rPr>
                            <w:t>11</w:t>
                          </w:r>
                          <w:r>
                            <w:rPr>
                              <w:rStyle w:val="Style17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4.05pt;height:12.8pt;mso-wrap-distance-left:0pt;mso-wrap-distance-right:0pt;mso-wrap-distance-top:0pt;mso-wrap-distance-bottom:0pt;margin-top:0.05pt;mso-position-vertical-relative:text;margin-left:48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35"/>
                      <w:spacing w:before="0" w:after="160"/>
                      <w:rPr>
                        <w:rStyle w:val="Style17"/>
                      </w:rPr>
                    </w:pPr>
                    <w:r>
                      <w:rPr>
                        <w:rStyle w:val="Style17"/>
                      </w:rPr>
                      <w:fldChar w:fldCharType="begin"/>
                    </w:r>
                    <w:r>
                      <w:rPr>
                        <w:rStyle w:val="Style17"/>
                      </w:rPr>
                      <w:instrText> PAGE </w:instrText>
                    </w:r>
                    <w:r>
                      <w:rPr>
                        <w:rStyle w:val="Style17"/>
                      </w:rPr>
                      <w:fldChar w:fldCharType="separate"/>
                    </w:r>
                    <w:r>
                      <w:rPr>
                        <w:rStyle w:val="Style17"/>
                      </w:rPr>
                      <w:t>11</w:t>
                    </w:r>
                    <w:r>
                      <w:rPr>
                        <w:rStyle w:val="Style17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spacing w:before="0" w:after="16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Style21"/>
        </w:rPr>
        <w:footnoteRef/>
      </w:r>
      <w:r>
        <w:rPr>
          <w:lang w:val="ru-RU"/>
        </w:rPr>
        <w:t>В виду возможного изменения нормативно-правовой базы, регулирующей предоставление налоговой отчетности, образовательная организация должна ежегодно уточнять перечень этих источников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sz w:val="24"/>
        <w:b/>
        <w:szCs w:val="28"/>
        <w:rFonts w:ascii="Times New Roman" w:hAnsi="Times New Roman" w:cs="Times New Roman"/>
        <w:lang w:eastAsia="ru-RU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sz w:val="24"/>
        <w:b/>
        <w:szCs w:val="28"/>
        <w:rFonts w:ascii="Times New Roman" w:hAnsi="Times New Roman" w:cs="Times New Roman"/>
        <w:lang w:eastAsia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b/>
        <w:szCs w:val="24"/>
        <w:rFonts w:ascii="Times New Roman" w:hAnsi="Times New Roman" w:eastAsia="TimesNewRomanPSMT;MS Mincho" w:cs="Times New Roman"/>
        <w:lang w:eastAsia="ru-RU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kern w:val="2"/>
        <w:bCs/>
        <w:rFonts w:eastAsia="SimSun;宋体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8"/>
      <w:lang w:eastAsia="ru-RU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NewRomanPSMT;MS Mincho" w:cs="Times New Roman"/>
      <w:b/>
      <w:sz w:val="24"/>
      <w:szCs w:val="24"/>
      <w:lang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Calibri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eastAsia="SimSun;宋体" w:cs="Times New Roman"/>
      <w:b w:val="false"/>
      <w:bCs/>
      <w:kern w:val="2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HTML">
    <w:name w:val="Цитата HTML"/>
    <w:qFormat/>
    <w:rPr>
      <w:i/>
      <w:iCs/>
    </w:rPr>
  </w:style>
  <w:style w:type="character" w:styleId="Style15">
    <w:name w:val="Основной текст Знак"/>
    <w:qFormat/>
    <w:rPr>
      <w:rFonts w:ascii="Calibri" w:hAnsi="Calibri" w:eastAsia="Calibri" w:cs="Calibri"/>
      <w:sz w:val="24"/>
      <w:szCs w:val="24"/>
      <w:lang w:val="ru-RU" w:bidi="ar-SA"/>
    </w:rPr>
  </w:style>
  <w:style w:type="character" w:styleId="Style16">
    <w:name w:val="Текст сноски Знак"/>
    <w:qFormat/>
    <w:rPr>
      <w:rFonts w:ascii="Calibri" w:hAnsi="Calibri" w:eastAsia="Calibri" w:cs="Calibri"/>
      <w:lang w:val="ru-RU" w:bidi="ar-SA"/>
    </w:rPr>
  </w:style>
  <w:style w:type="character" w:styleId="Style17">
    <w:name w:val="Номер страницы"/>
    <w:basedOn w:val="Style13"/>
    <w:rPr/>
  </w:style>
  <w:style w:type="character" w:styleId="2">
    <w:name w:val="Цитата 2 Знак"/>
    <w:qFormat/>
    <w:rPr>
      <w:i/>
      <w:iCs/>
      <w:color w:val="404040"/>
      <w:sz w:val="24"/>
      <w:szCs w:val="24"/>
    </w:rPr>
  </w:style>
  <w:style w:type="character" w:styleId="Style18">
    <w:name w:val="Абзац списка Знак"/>
    <w:qFormat/>
    <w:rPr>
      <w:rFonts w:ascii="Calibri" w:hAnsi="Calibri" w:eastAsia="Calibri" w:cs="Calibri"/>
      <w:sz w:val="22"/>
      <w:szCs w:val="22"/>
    </w:rPr>
  </w:style>
  <w:style w:type="character" w:styleId="Style19">
    <w:name w:val="Привязка сноски"/>
    <w:rPr>
      <w:rFonts w:cs="Times New Roman"/>
      <w:vertAlign w:val="superscript"/>
    </w:rPr>
  </w:style>
  <w:style w:type="character" w:styleId="Style20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Style21">
    <w:name w:val="Символ сноски"/>
    <w:qFormat/>
    <w:rPr/>
  </w:style>
  <w:style w:type="character" w:styleId="11">
    <w:name w:val="Заголовок №1_"/>
    <w:basedOn w:val="Style13"/>
    <w:qFormat/>
    <w:rPr>
      <w:b/>
      <w:bCs/>
      <w:sz w:val="27"/>
      <w:szCs w:val="27"/>
      <w:shd w:fill="FFFFFF" w:val="clear"/>
    </w:rPr>
  </w:style>
  <w:style w:type="character" w:styleId="21">
    <w:name w:val="Заголовок №2_"/>
    <w:basedOn w:val="Style13"/>
    <w:qFormat/>
    <w:rPr>
      <w:sz w:val="27"/>
      <w:szCs w:val="27"/>
      <w:shd w:fill="FFFFFF" w:val="clear"/>
    </w:rPr>
  </w:style>
  <w:style w:type="character" w:styleId="3">
    <w:name w:val="Основной текст (3)_"/>
    <w:basedOn w:val="Style13"/>
    <w:qFormat/>
    <w:rPr>
      <w:sz w:val="23"/>
      <w:szCs w:val="23"/>
      <w:shd w:fill="FFFFFF" w:val="clear"/>
    </w:rPr>
  </w:style>
  <w:style w:type="character" w:styleId="Style22">
    <w:name w:val="Основной текст_"/>
    <w:basedOn w:val="Style13"/>
    <w:qFormat/>
    <w:rPr>
      <w:sz w:val="21"/>
      <w:szCs w:val="21"/>
      <w:shd w:fill="FFFFFF" w:val="clear"/>
    </w:rPr>
  </w:style>
  <w:style w:type="character" w:styleId="Style23">
    <w:name w:val="Подпись к таблице_"/>
    <w:basedOn w:val="Style13"/>
    <w:qFormat/>
    <w:rPr>
      <w:sz w:val="21"/>
      <w:szCs w:val="21"/>
      <w:shd w:fill="FFFFFF" w:val="clear"/>
    </w:rPr>
  </w:style>
  <w:style w:type="character" w:styleId="22">
    <w:name w:val="Основной текст2"/>
    <w:basedOn w:val="Style22"/>
    <w:qFormat/>
    <w:rPr>
      <w:color w:val="000000"/>
      <w:spacing w:val="0"/>
      <w:w w:val="100"/>
      <w:position w:val="0"/>
      <w:sz w:val="21"/>
      <w:vertAlign w:val="baseline"/>
      <w:lang w:val="ru-RU"/>
    </w:rPr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7">
    <w:name w:val="Body Text"/>
    <w:basedOn w:val="Normal"/>
    <w:pPr>
      <w:spacing w:lineRule="auto" w:line="240" w:before="0" w:after="120"/>
    </w:pPr>
    <w:rPr>
      <w:rFonts w:eastAsia="Calibri"/>
      <w:sz w:val="24"/>
      <w:szCs w:val="24"/>
    </w:rPr>
  </w:style>
  <w:style w:type="paragraph" w:styleId="Style28">
    <w:name w:val="List"/>
    <w:basedOn w:val="Style27"/>
    <w:pPr/>
    <w:rPr>
      <w:rFonts w:cs="Lohit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23">
    <w:name w:val=" Знак2"/>
    <w:basedOn w:val="Normal"/>
    <w:qFormat/>
    <w:pPr>
      <w:tabs>
        <w:tab w:val="left" w:pos="708" w:leader="none"/>
      </w:tabs>
      <w:spacing w:lineRule="exact" w:line="240"/>
    </w:pPr>
    <w:rPr>
      <w:rFonts w:ascii="Verdana" w:hAnsi="Verdana" w:cs="Verdana"/>
      <w:sz w:val="20"/>
      <w:szCs w:val="20"/>
      <w:lang w:val="en-US"/>
    </w:rPr>
  </w:style>
  <w:style w:type="paragraph" w:styleId="Style3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eastAsia="Calibri"/>
      <w:lang w:val="ru-RU"/>
    </w:rPr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25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Calibri" w:cs="Times New Roman"/>
      <w:sz w:val="24"/>
      <w:szCs w:val="24"/>
    </w:rPr>
  </w:style>
  <w:style w:type="paragraph" w:styleId="Style33">
    <w:name w:val="Footnote Text"/>
    <w:basedOn w:val="Normal"/>
    <w:pPr>
      <w:spacing w:lineRule="auto" w:line="240" w:before="0" w:after="0"/>
    </w:pPr>
    <w:rPr>
      <w:rFonts w:eastAsia="Calibri"/>
      <w:sz w:val="20"/>
      <w:szCs w:val="20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6">
    <w:name w:val="Цитата 2"/>
    <w:basedOn w:val="Normal"/>
    <w:next w:val="Normal"/>
    <w:qFormat/>
    <w:pPr>
      <w:spacing w:lineRule="auto" w:line="240" w:before="200" w:after="160"/>
      <w:ind w:left="864" w:right="864" w:hanging="0"/>
      <w:jc w:val="center"/>
    </w:pPr>
    <w:rPr>
      <w:rFonts w:ascii="Times New Roman" w:hAnsi="Times New Roman" w:cs="Times New Roman"/>
      <w:i/>
      <w:iCs/>
      <w:color w:val="404040"/>
      <w:sz w:val="24"/>
      <w:szCs w:val="24"/>
      <w:lang w:val="ru-RU"/>
    </w:rPr>
  </w:style>
  <w:style w:type="paragraph" w:styleId="Style37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Noto Serif CJK SC;Times New Roman" w:cs="Lohit Devanagari;Times New Roman"/>
      <w:color w:val="auto"/>
      <w:kern w:val="2"/>
      <w:sz w:val="24"/>
      <w:szCs w:val="24"/>
      <w:lang w:val="ru-RU" w:eastAsia="zh-CN" w:bidi="hi-IN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38">
    <w:name w:val="СВЕЛ список"/>
    <w:basedOn w:val="Style37"/>
    <w:qFormat/>
    <w:pPr>
      <w:spacing w:lineRule="auto" w:line="360"/>
    </w:pPr>
    <w:rPr>
      <w:rFonts w:eastAsia="Arial Unicode MS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exact" w:line="480" w:before="0" w:after="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27">
    <w:name w:val="Заголовок №2"/>
    <w:basedOn w:val="Normal"/>
    <w:qFormat/>
    <w:pPr>
      <w:widowControl w:val="false"/>
      <w:shd w:fill="FFFFFF" w:val="clear"/>
      <w:spacing w:lineRule="exact" w:line="480" w:before="0" w:after="0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31">
    <w:name w:val="Основной текст (3)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3"/>
      <w:szCs w:val="23"/>
    </w:rPr>
  </w:style>
  <w:style w:type="paragraph" w:styleId="32">
    <w:name w:val="Основной текст3"/>
    <w:basedOn w:val="Normal"/>
    <w:qFormat/>
    <w:pPr>
      <w:widowControl w:val="false"/>
      <w:shd w:fill="FFFFFF" w:val="clear"/>
      <w:spacing w:lineRule="auto" w:before="0" w:after="0"/>
      <w:jc w:val="right"/>
    </w:pPr>
    <w:rPr>
      <w:rFonts w:ascii="Times New Roman" w:hAnsi="Times New Roman" w:cs="Times New Roman"/>
      <w:sz w:val="21"/>
      <w:szCs w:val="21"/>
    </w:rPr>
  </w:style>
  <w:style w:type="paragraph" w:styleId="Style39">
    <w:name w:val="Подпись к таблице"/>
    <w:basedOn w:val="Normal"/>
    <w:qFormat/>
    <w:pPr>
      <w:widowControl w:val="false"/>
      <w:shd w:fill="FFFFFF" w:val="clear"/>
      <w:spacing w:lineRule="auto" w:before="0" w:after="0"/>
    </w:pPr>
    <w:rPr>
      <w:rFonts w:ascii="Times New Roman" w:hAnsi="Times New Roman" w:cs="Times New Roman"/>
      <w:sz w:val="21"/>
      <w:szCs w:val="21"/>
    </w:rPr>
  </w:style>
  <w:style w:type="paragraph" w:styleId="Style40">
    <w:name w:val="Содержимое таблицы"/>
    <w:basedOn w:val="Normal"/>
    <w:qFormat/>
    <w:pPr>
      <w:suppressLineNumbers/>
    </w:pPr>
    <w:rPr/>
  </w:style>
  <w:style w:type="paragraph" w:styleId="Style41">
    <w:name w:val="Заголовок таблицы"/>
    <w:basedOn w:val="Style40"/>
    <w:qFormat/>
    <w:pPr>
      <w:suppressLineNumbers/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og.ru/" TargetMode="External"/><Relationship Id="rId3" Type="http://schemas.openxmlformats.org/officeDocument/2006/relationships/hyperlink" Target="http://www.minfin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LibreOffice/6.4.7.2$Linux_X86_64 LibreOffice_project/40$Build-2</Application>
  <Pages>11</Pages>
  <Words>2571</Words>
  <Characters>18753</Characters>
  <CharactersWithSpaces>21474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2021-08-26T18:37:00Z</dcterms:created>
  <dc:creator>Анна</dc:creator>
  <dc:description/>
  <cp:keywords/>
  <dc:language>ru-RU</dc:language>
  <cp:lastModifiedBy>User</cp:lastModifiedBy>
  <cp:lastPrinted>2021-08-27T09:11:00Z</cp:lastPrinted>
  <dcterms:modified xsi:type="dcterms:W3CDTF">2021-09-16T15:19:00Z</dcterms:modified>
  <cp:revision>12</cp:revision>
  <dc:subject/>
  <dc:title>Министерство строительного комплекса Московской области</dc:title>
</cp:coreProperties>
</file>