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373C6">
        <w:rPr>
          <w:rFonts w:ascii="Times New Roman" w:hAnsi="Times New Roman"/>
          <w:sz w:val="24"/>
          <w:szCs w:val="24"/>
          <w:u w:val="single"/>
        </w:rPr>
        <w:t>2.2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6C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6C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6C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160-о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6C1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6C1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>РАБОЧАЯ ПРОГРАММА по практической подготовке</w:t>
      </w:r>
    </w:p>
    <w:p w:rsidR="00012B10" w:rsidRPr="00C77342" w:rsidRDefault="00D373C6" w:rsidP="006C1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</w:t>
      </w:r>
      <w:r w:rsidR="00D514A8" w:rsidRPr="00D514A8">
        <w:rPr>
          <w:rFonts w:ascii="Times New Roman" w:hAnsi="Times New Roman"/>
          <w:caps/>
          <w:sz w:val="24"/>
          <w:szCs w:val="24"/>
        </w:rPr>
        <w:t>п.01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D514A8" w:rsidRDefault="00D514A8" w:rsidP="006C13AB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D514A8">
        <w:rPr>
          <w:rFonts w:ascii="Times New Roman" w:hAnsi="Times New Roman"/>
          <w:caps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012B10" w:rsidRPr="00D514A8" w:rsidRDefault="00012B10" w:rsidP="006C13A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6C1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6C1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6C1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6C1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Pr="00D514A8">
        <w:rPr>
          <w:rFonts w:ascii="Times New Roman" w:hAnsi="Times New Roman"/>
          <w:sz w:val="24"/>
          <w:szCs w:val="24"/>
        </w:rPr>
        <w:t>П.01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82100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 w:rsidR="00C1538E">
        <w:rPr>
          <w:rFonts w:ascii="Times New Roman" w:hAnsi="Times New Roman"/>
          <w:sz w:val="24"/>
          <w:szCs w:val="24"/>
        </w:rPr>
        <w:t>«Вос</w:t>
      </w:r>
      <w:r w:rsidR="00767F52">
        <w:rPr>
          <w:rFonts w:ascii="Times New Roman" w:hAnsi="Times New Roman"/>
          <w:sz w:val="24"/>
          <w:szCs w:val="24"/>
        </w:rPr>
        <w:t>кресенский колледж»-Лещенко С.В.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6C13AB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6C13AB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6C13AB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6C13AB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bookmarkStart w:id="0" w:name="_GoBack"/>
            <w:bookmarkEnd w:id="0"/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D373C6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="00012B10"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D373C6" w:rsidP="00C1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 xml:space="preserve">П.01.01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 xml:space="preserve">П.01.01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 xml:space="preserve">ВД 1 </w:t>
      </w:r>
      <w:r w:rsidR="00C1538E" w:rsidRPr="0029489C">
        <w:rPr>
          <w:rFonts w:ascii="YS Text" w:hAnsi="YS Text"/>
          <w:color w:val="000000"/>
          <w:sz w:val="23"/>
          <w:szCs w:val="23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="00A30ECE" w:rsidRPr="00C1538E">
        <w:rPr>
          <w:rFonts w:ascii="Times New Roman" w:hAnsi="Times New Roman"/>
          <w:b/>
          <w:sz w:val="24"/>
          <w:szCs w:val="24"/>
        </w:rPr>
        <w:t>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16DBB">
        <w:rPr>
          <w:rFonts w:ascii="Times New Roman" w:hAnsi="Times New Roman"/>
          <w:sz w:val="24"/>
          <w:szCs w:val="24"/>
        </w:rPr>
        <w:t xml:space="preserve">учебной </w:t>
      </w:r>
      <w:r w:rsidR="00A30ECE">
        <w:rPr>
          <w:rFonts w:ascii="Times New Roman" w:hAnsi="Times New Roman"/>
          <w:sz w:val="24"/>
          <w:szCs w:val="24"/>
        </w:rPr>
        <w:t>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9E2F77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77" w:rsidRPr="00C77342" w:rsidRDefault="009E2F77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PMingLiU" w:hAnsi="Times New Roman"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b/>
          <w:sz w:val="24"/>
          <w:szCs w:val="24"/>
        </w:rPr>
        <w:t>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D373C6">
        <w:rPr>
          <w:rFonts w:ascii="Times New Roman" w:hAnsi="Times New Roman"/>
          <w:sz w:val="24"/>
          <w:szCs w:val="24"/>
        </w:rPr>
        <w:t>120часов (17 недель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437343" w:rsidRPr="00437343">
        <w:rPr>
          <w:rFonts w:ascii="Times New Roman" w:hAnsi="Times New Roman"/>
          <w:sz w:val="24"/>
          <w:szCs w:val="24"/>
        </w:rPr>
        <w:t>1 курсе в 2</w:t>
      </w:r>
      <w:r w:rsidR="00D373C6">
        <w:rPr>
          <w:rFonts w:ascii="Times New Roman" w:hAnsi="Times New Roman"/>
          <w:sz w:val="24"/>
          <w:szCs w:val="24"/>
        </w:rPr>
        <w:t xml:space="preserve"> семестре.</w:t>
      </w:r>
    </w:p>
    <w:p w:rsidR="00D373C6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D373C6">
        <w:rPr>
          <w:rFonts w:ascii="Times New Roman" w:hAnsi="Times New Roman"/>
          <w:b/>
          <w:sz w:val="24"/>
          <w:szCs w:val="24"/>
          <w:lang w:bidi="ru-RU"/>
        </w:rPr>
        <w:t>учебной практики У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П.01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1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012B10" w:rsidRPr="00437343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У</w:t>
      </w:r>
      <w:r w:rsidR="00437343" w:rsidRPr="00437343">
        <w:rPr>
          <w:rFonts w:ascii="Times New Roman" w:hAnsi="Times New Roman"/>
          <w:sz w:val="24"/>
          <w:szCs w:val="24"/>
        </w:rPr>
        <w:t>П.01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437343"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437343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МДК.01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6A55D0">
        <w:rPr>
          <w:rFonts w:ascii="Times New Roman" w:hAnsi="Times New Roman"/>
          <w:sz w:val="24"/>
          <w:szCs w:val="24"/>
        </w:rPr>
        <w:t xml:space="preserve"> «</w:t>
      </w:r>
      <w:r w:rsidR="00012B10" w:rsidRPr="00437343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 подготовки к реализации и хранения кулинарных полуфабрикатов</w:t>
      </w:r>
      <w:r>
        <w:rPr>
          <w:rFonts w:ascii="Times New Roman" w:hAnsi="Times New Roman"/>
          <w:sz w:val="24"/>
          <w:szCs w:val="24"/>
        </w:rPr>
        <w:t>.</w:t>
      </w:r>
    </w:p>
    <w:p w:rsidR="00012B10" w:rsidRDefault="00437343" w:rsidP="004373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МДК.01</w:t>
      </w:r>
      <w:r w:rsidR="00012B10" w:rsidRPr="00437343">
        <w:rPr>
          <w:rFonts w:ascii="Times New Roman" w:hAnsi="Times New Roman"/>
          <w:sz w:val="24"/>
          <w:szCs w:val="24"/>
        </w:rPr>
        <w:t>.02</w:t>
      </w:r>
      <w:r w:rsidR="006A55D0">
        <w:rPr>
          <w:rFonts w:ascii="Times New Roman" w:hAnsi="Times New Roman"/>
          <w:sz w:val="24"/>
          <w:szCs w:val="24"/>
        </w:rPr>
        <w:t xml:space="preserve"> «</w:t>
      </w:r>
      <w:r w:rsidR="00012B10" w:rsidRPr="00437343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 xml:space="preserve">Процессы </w:t>
      </w:r>
      <w:r w:rsidR="006A55D0">
        <w:rPr>
          <w:rFonts w:ascii="Times New Roman" w:hAnsi="Times New Roman"/>
          <w:sz w:val="24"/>
          <w:szCs w:val="24"/>
        </w:rPr>
        <w:t>приготовления, подготовка к реализации и хранения кулинарных полуфабрикатов».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37343">
        <w:rPr>
          <w:rFonts w:ascii="Times New Roman" w:hAnsi="Times New Roman"/>
          <w:sz w:val="24"/>
          <w:szCs w:val="24"/>
        </w:rPr>
        <w:t xml:space="preserve">практика </w:t>
      </w:r>
      <w:r w:rsidR="00FA6999">
        <w:rPr>
          <w:rFonts w:ascii="Times New Roman" w:hAnsi="Times New Roman"/>
          <w:sz w:val="24"/>
          <w:szCs w:val="24"/>
        </w:rPr>
        <w:t xml:space="preserve">осуществляется в соответствии с графиком утвержденного учебного плана, </w:t>
      </w:r>
      <w:r w:rsidR="00437343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лаборатории: «Учебная кухня ресторана», «Уч</w:t>
      </w:r>
      <w:r w:rsidR="00C16DBB">
        <w:rPr>
          <w:rFonts w:ascii="Times New Roman" w:hAnsi="Times New Roman"/>
          <w:sz w:val="24"/>
          <w:szCs w:val="24"/>
        </w:rPr>
        <w:t>ебный кондитерский цех» оснащеных</w:t>
      </w:r>
      <w:r>
        <w:rPr>
          <w:rFonts w:ascii="Times New Roman" w:hAnsi="Times New Roman"/>
          <w:sz w:val="24"/>
          <w:szCs w:val="24"/>
        </w:rPr>
        <w:t xml:space="preserve"> в соответст</w:t>
      </w:r>
      <w:r w:rsidR="00E5390D">
        <w:rPr>
          <w:rFonts w:ascii="Times New Roman" w:hAnsi="Times New Roman"/>
          <w:sz w:val="24"/>
          <w:szCs w:val="24"/>
        </w:rPr>
        <w:t>вии с п.6.2.1 примерной программы по профессии 43.01.09.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="00E5390D">
        <w:rPr>
          <w:rFonts w:ascii="Times New Roman" w:hAnsi="Times New Roman"/>
          <w:sz w:val="24"/>
          <w:szCs w:val="24"/>
        </w:rPr>
        <w:t>Повар</w:t>
      </w:r>
      <w:r w:rsidR="00FA6999">
        <w:rPr>
          <w:rFonts w:ascii="Times New Roman" w:hAnsi="Times New Roman"/>
          <w:sz w:val="24"/>
          <w:szCs w:val="24"/>
        </w:rPr>
        <w:t>,</w:t>
      </w:r>
      <w:r w:rsidR="00C16DBB">
        <w:rPr>
          <w:rFonts w:ascii="Times New Roman" w:hAnsi="Times New Roman"/>
          <w:sz w:val="24"/>
          <w:szCs w:val="24"/>
        </w:rPr>
        <w:t xml:space="preserve"> </w:t>
      </w:r>
      <w:r w:rsidR="00FA6999">
        <w:rPr>
          <w:rFonts w:ascii="Times New Roman" w:hAnsi="Times New Roman"/>
          <w:sz w:val="24"/>
          <w:szCs w:val="24"/>
        </w:rPr>
        <w:t>кондитер.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Pr="00C77342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16DB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C16DBB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16DBB">
              <w:rPr>
                <w:b/>
                <w:spacing w:val="-57"/>
                <w:sz w:val="24"/>
                <w:szCs w:val="24"/>
              </w:rPr>
              <w:t xml:space="preserve">      </w:t>
            </w:r>
            <w:r w:rsidR="00C16DBB">
              <w:rPr>
                <w:b/>
                <w:sz w:val="24"/>
                <w:szCs w:val="24"/>
              </w:rPr>
              <w:t xml:space="preserve">учебной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890AD3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из них.</w:t>
            </w:r>
          </w:p>
        </w:tc>
        <w:tc>
          <w:tcPr>
            <w:tcW w:w="6034" w:type="dxa"/>
            <w:shd w:val="clear" w:color="auto" w:fill="auto"/>
          </w:tcPr>
          <w:p w:rsidR="00890AD3" w:rsidRP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379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890AD3" w:rsidRP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заявок на сырье,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родукты, материалы, проверка по </w:t>
            </w:r>
            <w:r w:rsidR="004B3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накладной </w:t>
            </w: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соответствия заявке перед началом работы.</w:t>
            </w:r>
          </w:p>
          <w:p w:rsid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E45A6" w:rsidRPr="00BE45A6" w:rsidRDefault="00BE45A6" w:rsidP="00BE45A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BE45A6" w:rsidRPr="00BE45A6" w:rsidRDefault="00BE45A6" w:rsidP="00BE45A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расчетов с потребителем при отпуске на вынос.</w:t>
            </w:r>
          </w:p>
          <w:p w:rsidR="00012B10" w:rsidRPr="00BE45A6" w:rsidRDefault="00012B10" w:rsidP="00CA300E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A6999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CA300E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Обработка, нарезка, формовка овощей и грибов 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4B327F" w:rsidP="00FC3535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овощей, грибов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4B327F" w:rsidRPr="00FC3535" w:rsidRDefault="004B327F" w:rsidP="00FC3535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jc w:val="both"/>
              <w:rPr>
                <w:sz w:val="24"/>
                <w:szCs w:val="24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>арезка, формовка овощей, грибов.</w:t>
            </w:r>
          </w:p>
          <w:p w:rsidR="00FC3535" w:rsidRPr="00FC3535" w:rsidRDefault="00FC3535" w:rsidP="00FC3535">
            <w:pPr>
              <w:pStyle w:val="a7"/>
              <w:numPr>
                <w:ilvl w:val="0"/>
                <w:numId w:val="6"/>
              </w:numPr>
              <w:spacing w:before="0" w:after="0"/>
              <w:ind w:left="520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A6999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CA300E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Обработка рыбы и нерыбного водного сырья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34" w:type="dxa"/>
            <w:shd w:val="clear" w:color="auto" w:fill="auto"/>
          </w:tcPr>
          <w:p w:rsidR="00012B10" w:rsidRDefault="004B327F" w:rsidP="00BE45A6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рыбы и нерыбного водного сырья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BE45A6" w:rsidRPr="00BE45A6" w:rsidRDefault="00BE45A6" w:rsidP="00BE45A6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аботанного сырья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рыбы, нерыбного водного сырья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EB468E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Приготовление полуфабрикатов из рыбы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4B327F" w:rsidRPr="00BE45A6" w:rsidRDefault="004B327F" w:rsidP="00BE45A6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Нарезка, формовка, приготовление отдельных компонентов и полуфабрикатов из рыбы, нерыбного водного сырья.</w:t>
            </w:r>
          </w:p>
          <w:p w:rsidR="00BE45A6" w:rsidRPr="00BE45A6" w:rsidRDefault="00BE45A6" w:rsidP="00BE45A6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полуфабрикатов из рыбы, нерыбного водного сырья с учетом требований по безопасности обработанного сырья и готовой продукции.</w:t>
            </w:r>
          </w:p>
          <w:p w:rsidR="00BE45A6" w:rsidRPr="00BE45A6" w:rsidRDefault="00BE45A6" w:rsidP="00BE45A6">
            <w:pPr>
              <w:pStyle w:val="a7"/>
              <w:numPr>
                <w:ilvl w:val="0"/>
                <w:numId w:val="5"/>
              </w:numPr>
              <w:spacing w:before="0" w:after="0"/>
              <w:ind w:left="379"/>
              <w:jc w:val="both"/>
              <w:rPr>
                <w:bCs/>
              </w:rPr>
            </w:pPr>
            <w:r w:rsidRPr="00BE45A6">
              <w:rPr>
                <w:lang w:val="ru-RU" w:eastAsia="en-US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EB468E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Обработка, подготовка мяса,  мясных продуктов. 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BC5417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мяса, мясных продуктов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4B327F" w:rsidRPr="00BC5417" w:rsidRDefault="00BC5417" w:rsidP="00BC5417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обработанного сырья из мяса, мясных продуктов с учетом требований по безопасности обработанного сырья и готовой продукции.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EB468E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Приготовление полуфабрикатов из мяса, </w:t>
            </w:r>
            <w:r w:rsidRPr="00CA300E">
              <w:rPr>
                <w:b/>
                <w:sz w:val="24"/>
                <w:szCs w:val="24"/>
              </w:rPr>
              <w:lastRenderedPageBreak/>
              <w:t>мясных продуктов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BC5417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Нарезка приготовление отдельных компонентов и полуфабрикатов мяса, мясных продуктов различными методами. </w:t>
            </w:r>
          </w:p>
          <w:p w:rsidR="00BC5417" w:rsidRPr="00BC5417" w:rsidRDefault="00BC5417" w:rsidP="00BC5417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Хранение полуфабрикатов из мяса, мясных продуктов с учетом требований по безопасности обработанного сырья и готовой продукции.</w:t>
            </w:r>
          </w:p>
          <w:p w:rsidR="004B327F" w:rsidRPr="00BC5417" w:rsidRDefault="00BC5417" w:rsidP="00BC5417">
            <w:pPr>
              <w:pStyle w:val="a7"/>
              <w:numPr>
                <w:ilvl w:val="0"/>
                <w:numId w:val="7"/>
              </w:numPr>
              <w:spacing w:before="0" w:after="0"/>
              <w:ind w:left="379"/>
              <w:jc w:val="both"/>
              <w:rPr>
                <w:lang w:val="ru-RU" w:eastAsia="en-US"/>
              </w:rPr>
            </w:pPr>
            <w:r w:rsidRPr="00BC5417">
              <w:rPr>
                <w:lang w:val="ru-RU" w:eastAsia="en-US"/>
              </w:rPr>
              <w:t>Порционирование (комплектование) обработанного сырья, полуфабрикатов из него. Упаковка на вынос или для транспорти</w:t>
            </w:r>
            <w:r>
              <w:rPr>
                <w:lang w:val="ru-RU" w:eastAsia="en-US"/>
              </w:rPr>
              <w:t>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A64CA1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 домашней птицы, дичи, кролика. 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892B62">
            <w:pPr>
              <w:numPr>
                <w:ilvl w:val="0"/>
                <w:numId w:val="8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</w:t>
            </w:r>
            <w:r w:rsidR="00BC54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домашней птицы, дичи, кролика различными методами.</w:t>
            </w:r>
          </w:p>
          <w:p w:rsidR="004B327F" w:rsidRPr="00892B62" w:rsidRDefault="00BC5417" w:rsidP="00892B62">
            <w:pPr>
              <w:numPr>
                <w:ilvl w:val="0"/>
                <w:numId w:val="8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Хранение обработанного сырья из </w:t>
            </w:r>
            <w:r w:rsidR="00892B62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домашней пт</w:t>
            </w:r>
            <w:r w:rsidR="00892B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ицы,  </w:t>
            </w: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>дичи, кролика с учетом требований по безопасности обработанного сырья и готовой продукции.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A64CA1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Приготовление полуфабрикатов из домашней</w:t>
            </w:r>
            <w:r w:rsidRPr="00783379">
              <w:rPr>
                <w:bCs/>
              </w:rPr>
              <w:t xml:space="preserve"> </w:t>
            </w:r>
            <w:r w:rsidRPr="00CA300E">
              <w:rPr>
                <w:b/>
                <w:sz w:val="24"/>
                <w:szCs w:val="24"/>
              </w:rPr>
              <w:t>птицы, дичи, кролика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892B62" w:rsidP="00892B62">
            <w:pPr>
              <w:numPr>
                <w:ilvl w:val="0"/>
                <w:numId w:val="9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Нарезка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отдельных компонентов и полуфабрикатов из домашней пт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ицы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дичи, кролика различными методами. </w:t>
            </w:r>
          </w:p>
          <w:p w:rsidR="00892B62" w:rsidRPr="00892B62" w:rsidRDefault="00892B62" w:rsidP="00892B62">
            <w:pPr>
              <w:numPr>
                <w:ilvl w:val="0"/>
                <w:numId w:val="9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B62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полуфабрикатов домашней птицы, дичи, кролика с учетом требований по безопасности обработанного сырья и готовой продукции.</w:t>
            </w:r>
          </w:p>
          <w:p w:rsidR="00892B62" w:rsidRPr="00783379" w:rsidRDefault="00892B62" w:rsidP="00892B62">
            <w:pPr>
              <w:pStyle w:val="a7"/>
              <w:numPr>
                <w:ilvl w:val="0"/>
                <w:numId w:val="9"/>
              </w:numPr>
              <w:spacing w:before="0" w:after="0"/>
              <w:ind w:left="379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4B327F" w:rsidRPr="00BE45A6" w:rsidRDefault="004B327F" w:rsidP="00BE45A6">
            <w:pPr>
              <w:pStyle w:val="TableParagraph"/>
              <w:tabs>
                <w:tab w:val="left" w:pos="816"/>
              </w:tabs>
              <w:ind w:left="379" w:hanging="36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A64CA1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00503C" w:rsidP="004B32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итоговой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4B327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A64CA1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="00A64CA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</w:t>
      </w:r>
      <w:r w:rsidR="00C16DBB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учебной </w:t>
      </w:r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 xml:space="preserve">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8769F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="00B8769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77342">
        <w:rPr>
          <w:rFonts w:ascii="Times New Roman" w:hAnsi="Times New Roman"/>
          <w:bCs/>
          <w:sz w:val="24"/>
          <w:szCs w:val="24"/>
        </w:rPr>
        <w:t>дня студента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во время практики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определяется согласно трудово</w:t>
      </w:r>
      <w:r w:rsidR="00B8769F">
        <w:rPr>
          <w:rFonts w:ascii="Times New Roman" w:hAnsi="Times New Roman"/>
          <w:bCs/>
          <w:sz w:val="24"/>
          <w:szCs w:val="24"/>
        </w:rPr>
        <w:t xml:space="preserve">му законодательству из расчета </w:t>
      </w:r>
      <w:r w:rsidRPr="00C77342">
        <w:rPr>
          <w:rFonts w:ascii="Times New Roman" w:hAnsi="Times New Roman"/>
          <w:bCs/>
          <w:sz w:val="24"/>
          <w:szCs w:val="24"/>
        </w:rPr>
        <w:t xml:space="preserve">6 часов </w:t>
      </w:r>
      <w:r w:rsidR="00B8769F">
        <w:rPr>
          <w:rFonts w:ascii="Times New Roman" w:hAnsi="Times New Roman"/>
          <w:bCs/>
          <w:sz w:val="24"/>
          <w:szCs w:val="24"/>
        </w:rPr>
        <w:t xml:space="preserve">в день </w:t>
      </w:r>
      <w:r w:rsidRPr="00C77342">
        <w:rPr>
          <w:rFonts w:ascii="Times New Roman" w:hAnsi="Times New Roman"/>
          <w:bCs/>
          <w:sz w:val="24"/>
          <w:szCs w:val="24"/>
        </w:rPr>
        <w:t>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и прошедшие</w:t>
      </w:r>
      <w:r w:rsidR="00B8769F">
        <w:rPr>
          <w:rFonts w:ascii="Times New Roman" w:hAnsi="Times New Roman"/>
          <w:bCs/>
          <w:sz w:val="24"/>
          <w:szCs w:val="24"/>
        </w:rPr>
        <w:t xml:space="preserve"> профосмотр, с занесением</w:t>
      </w:r>
      <w:r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="00B8769F">
        <w:rPr>
          <w:rFonts w:ascii="Times New Roman" w:hAnsi="Times New Roman"/>
          <w:bCs/>
          <w:sz w:val="24"/>
          <w:szCs w:val="24"/>
        </w:rPr>
        <w:t xml:space="preserve">медицинских данных в медкнижку, и </w:t>
      </w:r>
      <w:r w:rsidRPr="00C77342">
        <w:rPr>
          <w:rFonts w:ascii="Times New Roman" w:hAnsi="Times New Roman"/>
          <w:bCs/>
          <w:sz w:val="24"/>
          <w:szCs w:val="24"/>
        </w:rPr>
        <w:t>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C16DBB">
        <w:rPr>
          <w:rFonts w:ascii="Times New Roman" w:hAnsi="Times New Roman"/>
          <w:bCs/>
          <w:sz w:val="24"/>
          <w:szCs w:val="24"/>
        </w:rPr>
        <w:t xml:space="preserve"> учебной</w:t>
      </w:r>
      <w:r w:rsidRPr="00FC3535">
        <w:rPr>
          <w:rFonts w:ascii="Times New Roman" w:hAnsi="Times New Roman"/>
          <w:bCs/>
          <w:sz w:val="24"/>
          <w:szCs w:val="24"/>
        </w:rPr>
        <w:t xml:space="preserve">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B8769F">
        <w:rPr>
          <w:rFonts w:ascii="Times New Roman" w:hAnsi="Times New Roman"/>
          <w:sz w:val="24"/>
          <w:szCs w:val="24"/>
        </w:rPr>
        <w:t xml:space="preserve"> в современной лаборатории</w:t>
      </w:r>
      <w:r w:rsidR="00402BC3">
        <w:rPr>
          <w:rFonts w:ascii="Times New Roman" w:hAnsi="Times New Roman"/>
          <w:sz w:val="24"/>
          <w:szCs w:val="24"/>
        </w:rPr>
        <w:t xml:space="preserve">, оснащенной согласно требованиям п. 6.2.1 по профессии 43.01.09. Повар, кондитер. </w:t>
      </w:r>
    </w:p>
    <w:p w:rsidR="00402BC3" w:rsidRPr="00BF173C" w:rsidRDefault="00C16DBB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BC3" w:rsidRPr="00C16DBB">
        <w:rPr>
          <w:rFonts w:ascii="Times New Roman" w:hAnsi="Times New Roman"/>
          <w:b/>
          <w:sz w:val="24"/>
          <w:szCs w:val="24"/>
        </w:rPr>
        <w:t>Учебная кухня ресторана</w:t>
      </w:r>
      <w:r>
        <w:rPr>
          <w:rFonts w:ascii="Times New Roman" w:hAnsi="Times New Roman"/>
          <w:sz w:val="24"/>
          <w:szCs w:val="24"/>
        </w:rPr>
        <w:t>»</w:t>
      </w:r>
      <w:r w:rsidR="00E0529D">
        <w:rPr>
          <w:rFonts w:ascii="Times New Roman" w:hAnsi="Times New Roman"/>
          <w:sz w:val="24"/>
          <w:szCs w:val="24"/>
        </w:rPr>
        <w:t xml:space="preserve"> </w:t>
      </w:r>
      <w:r w:rsidR="00E0529D" w:rsidRPr="00C16DBB">
        <w:rPr>
          <w:rFonts w:ascii="Times New Roman" w:hAnsi="Times New Roman"/>
          <w:sz w:val="24"/>
          <w:szCs w:val="24"/>
          <w:u w:val="single"/>
        </w:rPr>
        <w:t>оснащена</w:t>
      </w:r>
      <w:r w:rsidR="00E0529D">
        <w:rPr>
          <w:rFonts w:ascii="Times New Roman" w:hAnsi="Times New Roman"/>
          <w:sz w:val="24"/>
          <w:szCs w:val="24"/>
        </w:rPr>
        <w:t>: Печи с функцией конвекции, духовые шкафы, микроволновка, конвектоматы, весы электронные, плиты индукционные, холодильные шкафы с прозрачной дверью, холодильные шкафы с глухой дверью,</w:t>
      </w:r>
      <w:r w:rsidR="0046435A">
        <w:rPr>
          <w:rFonts w:ascii="Times New Roman" w:hAnsi="Times New Roman"/>
          <w:sz w:val="24"/>
          <w:szCs w:val="24"/>
        </w:rPr>
        <w:t xml:space="preserve"> мясорубки электрические,</w:t>
      </w:r>
      <w:r w:rsidR="00B83318">
        <w:rPr>
          <w:rFonts w:ascii="Times New Roman" w:hAnsi="Times New Roman"/>
          <w:sz w:val="24"/>
          <w:szCs w:val="24"/>
        </w:rPr>
        <w:t xml:space="preserve"> миксеры планерные блендеры погружные ручные,</w:t>
      </w:r>
      <w:r w:rsidR="00E0529D">
        <w:rPr>
          <w:rFonts w:ascii="Times New Roman" w:hAnsi="Times New Roman"/>
          <w:sz w:val="24"/>
          <w:szCs w:val="24"/>
        </w:rPr>
        <w:t xml:space="preserve"> стеллажи для посуды, стеллажи для продуктов, столы </w:t>
      </w:r>
      <w:r w:rsidR="00B83318">
        <w:rPr>
          <w:rFonts w:ascii="Times New Roman" w:hAnsi="Times New Roman"/>
          <w:sz w:val="24"/>
          <w:szCs w:val="24"/>
        </w:rPr>
        <w:t>производс</w:t>
      </w:r>
      <w:r w:rsidR="0046435A">
        <w:rPr>
          <w:rFonts w:ascii="Times New Roman" w:hAnsi="Times New Roman"/>
          <w:sz w:val="24"/>
          <w:szCs w:val="24"/>
        </w:rPr>
        <w:t>т</w:t>
      </w:r>
      <w:r w:rsidR="00B83318">
        <w:rPr>
          <w:rFonts w:ascii="Times New Roman" w:hAnsi="Times New Roman"/>
          <w:sz w:val="24"/>
          <w:szCs w:val="24"/>
        </w:rPr>
        <w:t>венные из нержавейки, посуда для индукции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(кастрюли, сковороды, сотейники),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миски нержавеющие разного диаметра (от 14мм до 30мм),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доски из пластмассы разных цветов</w:t>
      </w:r>
      <w:r w:rsidR="0046435A">
        <w:rPr>
          <w:rFonts w:ascii="Times New Roman" w:hAnsi="Times New Roman"/>
          <w:sz w:val="24"/>
          <w:szCs w:val="24"/>
        </w:rPr>
        <w:t>(согласно требованиям системы ХАССП),доски из дуба, инвентарь из нержавейки ( лопатки для разных предназначений, венчики, ложки, вилки, ножи для разных работ, овощечистки, терки,</w:t>
      </w:r>
      <w:r w:rsidR="00050BB3">
        <w:rPr>
          <w:rFonts w:ascii="Times New Roman" w:hAnsi="Times New Roman"/>
          <w:sz w:val="24"/>
          <w:szCs w:val="24"/>
        </w:rPr>
        <w:t xml:space="preserve"> наборы ножей для карвинга )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3318" w:rsidRPr="00C77342" w:rsidRDefault="00B83318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E94E4D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</w:t>
      </w:r>
      <w:r w:rsidR="0015080C">
        <w:rPr>
          <w:lang w:val="ru-RU" w:eastAsia="en-US"/>
        </w:rPr>
        <w:t>9</w:t>
      </w:r>
      <w:r>
        <w:rPr>
          <w:lang w:eastAsia="en-US"/>
        </w:rPr>
        <w:t>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</w:t>
      </w:r>
      <w:r w:rsidR="0015080C">
        <w:rPr>
          <w:lang w:val="ru-RU"/>
        </w:rPr>
        <w:t>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15080C">
        <w:rPr>
          <w:lang w:val="ru-RU"/>
        </w:rPr>
        <w:t>9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0F1F01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12B10" w:rsidRPr="00667F48" w:rsidRDefault="002302AF" w:rsidP="00012B1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7F48">
        <w:rPr>
          <w:rFonts w:ascii="Times New Roman" w:hAnsi="Times New Roman"/>
          <w:bCs/>
          <w:sz w:val="24"/>
          <w:szCs w:val="24"/>
        </w:rPr>
        <w:t xml:space="preserve">Для полного усвоения курса учебной практики необходимы знания, умения, навыки, формируемые дисциплинами цикла ОП. Учебная практика проводится  концентрированно в соответствии с графиком учебного процесса </w:t>
      </w:r>
      <w:r w:rsidR="00C16DBB">
        <w:rPr>
          <w:rFonts w:ascii="Times New Roman" w:hAnsi="Times New Roman"/>
          <w:bCs/>
          <w:sz w:val="24"/>
          <w:szCs w:val="24"/>
        </w:rPr>
        <w:t>,</w:t>
      </w:r>
      <w:r w:rsidRPr="00667F48">
        <w:rPr>
          <w:rFonts w:ascii="Times New Roman" w:hAnsi="Times New Roman"/>
          <w:bCs/>
          <w:sz w:val="24"/>
          <w:szCs w:val="24"/>
        </w:rPr>
        <w:t>в форме практических занятий в лаборатории, под руководством преподавателя. 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</w:t>
      </w:r>
      <w:r w:rsidR="00667F48" w:rsidRPr="00667F48">
        <w:rPr>
          <w:rFonts w:ascii="Times New Roman" w:hAnsi="Times New Roman"/>
          <w:bCs/>
          <w:sz w:val="24"/>
          <w:szCs w:val="24"/>
        </w:rPr>
        <w:t>тва образования Российской Феде</w:t>
      </w:r>
      <w:r w:rsidRPr="00667F48">
        <w:rPr>
          <w:rFonts w:ascii="Times New Roman" w:hAnsi="Times New Roman"/>
          <w:bCs/>
          <w:sz w:val="24"/>
          <w:szCs w:val="24"/>
        </w:rPr>
        <w:t>рации</w:t>
      </w:r>
      <w:r w:rsidR="00667F48" w:rsidRPr="00667F48">
        <w:rPr>
          <w:rFonts w:ascii="Times New Roman" w:hAnsi="Times New Roman"/>
          <w:bCs/>
          <w:sz w:val="24"/>
          <w:szCs w:val="24"/>
        </w:rPr>
        <w:t>.</w:t>
      </w:r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="00050BB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90AD3">
        <w:rPr>
          <w:rFonts w:ascii="Times New Roman" w:hAnsi="Times New Roman"/>
          <w:b/>
          <w:sz w:val="24"/>
          <w:szCs w:val="24"/>
        </w:rPr>
        <w:t>ПРАКТИКИ</w:t>
      </w:r>
    </w:p>
    <w:p w:rsidR="00716EAF" w:rsidRPr="00D60ED9" w:rsidRDefault="00667F48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Итогом учебной практики является оценка профессиональных и общих компетенций, практического опыта ,</w:t>
      </w:r>
      <w:r w:rsidR="00C16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знаний и умений в форме зачета. Оценка по учебной практике выставляется на основании данных аттестационного листа, в котором содержатся сведения об уровне освоения обучающихся профессиональных  компетенций и выполнение итоговой работы по всему профессиональному модулю.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01" w:rsidRDefault="000F1F01">
      <w:pPr>
        <w:spacing w:after="0" w:line="240" w:lineRule="auto"/>
      </w:pPr>
      <w:r>
        <w:separator/>
      </w:r>
    </w:p>
  </w:endnote>
  <w:endnote w:type="continuationSeparator" w:id="0">
    <w:p w:rsidR="000F1F01" w:rsidRDefault="000F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00E" w:rsidRDefault="00CA300E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13AB">
      <w:rPr>
        <w:noProof/>
      </w:rPr>
      <w:t>2</w:t>
    </w:r>
    <w:r>
      <w:fldChar w:fldCharType="end"/>
    </w:r>
  </w:p>
  <w:p w:rsidR="00CA300E" w:rsidRDefault="00CA300E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00E" w:rsidRDefault="00CA300E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13AB">
      <w:rPr>
        <w:noProof/>
      </w:rPr>
      <w:t>17</w:t>
    </w:r>
    <w:r>
      <w:fldChar w:fldCharType="end"/>
    </w:r>
  </w:p>
  <w:p w:rsidR="00CA300E" w:rsidRDefault="00CA300E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01" w:rsidRDefault="000F1F01">
      <w:pPr>
        <w:spacing w:after="0" w:line="240" w:lineRule="auto"/>
      </w:pPr>
      <w:r>
        <w:separator/>
      </w:r>
    </w:p>
  </w:footnote>
  <w:footnote w:type="continuationSeparator" w:id="0">
    <w:p w:rsidR="000F1F01" w:rsidRDefault="000F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0503C"/>
    <w:rsid w:val="00012B10"/>
    <w:rsid w:val="00050BB3"/>
    <w:rsid w:val="00050CC0"/>
    <w:rsid w:val="000F1F01"/>
    <w:rsid w:val="0015080C"/>
    <w:rsid w:val="001567DF"/>
    <w:rsid w:val="00223F92"/>
    <w:rsid w:val="002302AF"/>
    <w:rsid w:val="003141F8"/>
    <w:rsid w:val="00402BC3"/>
    <w:rsid w:val="00437343"/>
    <w:rsid w:val="0046435A"/>
    <w:rsid w:val="004B327F"/>
    <w:rsid w:val="00667F48"/>
    <w:rsid w:val="006A55D0"/>
    <w:rsid w:val="006C13AB"/>
    <w:rsid w:val="00716EAF"/>
    <w:rsid w:val="00767F52"/>
    <w:rsid w:val="007D0A9A"/>
    <w:rsid w:val="00821000"/>
    <w:rsid w:val="00890AD3"/>
    <w:rsid w:val="00892B62"/>
    <w:rsid w:val="008A07A8"/>
    <w:rsid w:val="00914F28"/>
    <w:rsid w:val="009E2F77"/>
    <w:rsid w:val="00A15B83"/>
    <w:rsid w:val="00A30ECE"/>
    <w:rsid w:val="00A60C8B"/>
    <w:rsid w:val="00A64CA1"/>
    <w:rsid w:val="00AB1D8D"/>
    <w:rsid w:val="00B83318"/>
    <w:rsid w:val="00B8769F"/>
    <w:rsid w:val="00BC5417"/>
    <w:rsid w:val="00BE45A6"/>
    <w:rsid w:val="00C1538E"/>
    <w:rsid w:val="00C16DBB"/>
    <w:rsid w:val="00C3537B"/>
    <w:rsid w:val="00C365DD"/>
    <w:rsid w:val="00CA300E"/>
    <w:rsid w:val="00D15751"/>
    <w:rsid w:val="00D373C6"/>
    <w:rsid w:val="00D514A8"/>
    <w:rsid w:val="00D60ED9"/>
    <w:rsid w:val="00E0529D"/>
    <w:rsid w:val="00E5390D"/>
    <w:rsid w:val="00E63BB2"/>
    <w:rsid w:val="00EB468E"/>
    <w:rsid w:val="00FA6999"/>
    <w:rsid w:val="00FC3535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E020"/>
  <w15:docId w15:val="{D82980C4-66DB-416F-8123-E85570B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17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19</cp:revision>
  <dcterms:created xsi:type="dcterms:W3CDTF">2022-03-30T12:28:00Z</dcterms:created>
  <dcterms:modified xsi:type="dcterms:W3CDTF">2022-09-26T05:14:00Z</dcterms:modified>
</cp:coreProperties>
</file>