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2.1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>к ОПОП по специальности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46.02.01 Документационное обеспечение управления и архивоведение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БД.01.У Русский язык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123888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2388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На заседании ПЦК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Общеобразовательных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 28» августа 2021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 /Ермишкина Е.А.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97.5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На заседании ПЦК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Общеобразовательных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 28» августа 2021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 /Ермишкина Е.А.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БД.01.У Информатика разработана в соответствии с требованиями федерального государственного образовательного стандарта среднего общего образования, на основе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примерной программы общеобразовательной учебной дисциплины «Русский язык»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en-US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ФИРО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от 21.07.2015 г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>Разработчик: Алексеев А.А.,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en-US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 БД.01.У РУССКИЙ ЯЗЫК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БД.01.У РУССКИЙ ЯЗЫК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Область применения программы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>
        <w:trPr>
          <w:trHeight w:val="29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Понимание роли родного языка как основы успешной социализации личности;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умений учитывать исторический, историко-культурный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контекст и контекст творчества писателя в процессе анализа текста;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228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152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лекции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52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практические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100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76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Итоговая аттестация в форме экзамена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7274"/>
        <w:gridCol w:w="3361"/>
        <w:gridCol w:w="1860"/>
      </w:tblGrid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Введение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Языка как средство общения и форма существования национальной культуры. Язык как система. Русский язык: история и современность. Входной контроль.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Язык и речь. Функциональное-смысловые типы речи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ЛР3, ЛР4, ЛР1, ЛР2,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 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Понятие речевой коммуникации. Культура речи.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cs="Times New Roman" w:ascii="Times New Roman" w:hAnsi="Times New Roman"/>
                <w:bCs/>
              </w:rPr>
              <w:t>Текст.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cs="Times New Roman" w:ascii="Times New Roman" w:hAnsi="Times New Roman"/>
                <w:bCs/>
              </w:rPr>
              <w:t>Типы речи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Стилистика. Разговорный стиль.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Научный стиль.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Официально-деловой стиль.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Публицистический стиль.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Стиль художественной литературы.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Лингвостилистический анализ текста.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Фонетические единицы.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C0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ЛР3, ЛР4, ЛР1,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Звуки речи. Соотношение звука и буквы.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Фонема и орфограмма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занятие.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Благозвучие речи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;宋体" w:cs="Arial"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Тема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Лексика.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ЛР2, ЛР4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Слово в лексической системе языка. Многозначность слова и омонимы. Лексика с точки зрения ее происхождения.  Лексика с точки зрения ее употребления. Активный и пассивный словарный запас.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Синонимы и их изобразительные возможности.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занятие.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 Антонимы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Паронимы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;宋体" w:cs="Arial"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Тема 4.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Фразеология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ЛР2, ЛР4, ЛР3,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Фразеологизмы. Лексические и фразеологические словари.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Arial" w:hAnsi="Arial" w:eastAsia="SimSun;宋体" w:cs="Arial"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Тема 5. 5.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Словообразование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;宋体" w:cs="Times New Roman"/>
                <w:bCs/>
                <w:color w:val="000000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ЛР2, ЛР4, ЛР3, ЛР4,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25. 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Состав слова. Понятия производная и производящая основа.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Словобразовательный анализ слова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 Способы словообразования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Многозначность, омонимия, синонимия и антонимия морфем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Правописание морфем. Чередующиеся гласные в корнях слов.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Правописание приставок –пре и –при.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;宋体" w:cs="Arial"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Тема 6.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  <w:t>Морфология и орфография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Словоформа как единица морфологии Имя существительное. Имя прилагательное. Местоимение. Глагол. Глагольные формы. Причастие. Деепричастие.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 Наречие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ЛР1, ЛР2, ЛР4, ЛР 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Род, число, падеж существительных.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занятие.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Склонение имен существительных. Правописание не существительными. Имя  числительное.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Степени сравнения прилагательных.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Склонение прилагательных.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Правописание прилагательных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Количественные, собирательные, дробные числительные.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Правописание числительных.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>Правописание местоимений.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Наклонение глаголов.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Формы времени глагола.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Формы лица глагола.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Спряжение глагола.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Правописание глагола.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Правописание причастий.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занятие.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Степени сравнения наречий.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занятие.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Правописание наречий.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;宋体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color w:val="000000"/>
                <w:lang w:eastAsia="zh-CN"/>
              </w:rPr>
              <w:t>Тема 7.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color w:val="000000"/>
                <w:lang w:eastAsia="zh-CN"/>
              </w:rPr>
              <w:t>Служебные части речи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Служебные части речи. Междометия и звукоподражательные слова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/>
            </w:pPr>
            <w:r>
              <w:rPr>
                <w:rFonts w:eastAsia="SimSun;宋体" w:cs="Times New Roman" w:ascii="Times New Roman" w:hAnsi="Times New Roman"/>
                <w:b/>
                <w:color w:val="000000"/>
                <w:lang w:eastAsia="zh-CN"/>
              </w:rPr>
              <w:t>Тема 8.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color w:val="000000"/>
                <w:lang w:eastAsia="zh-CN"/>
              </w:rPr>
              <w:t>Синтаксис и пунктуация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;宋体" w:cs="Times New Roman"/>
                <w:color w:val="000000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;宋体" w:cs="Times New Roman"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Основные единицы синтаксиса.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Простое предложение. Структура простого предложения. 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Второстепенные члены предложения. Односоставные предложения. Неполные предложения.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Простое осложненное предложение. Предложения с однородными членами. Сложное предложение. Сложносочиненные предложения. Сложноподчиненное предложение. Многочленное сложноподчиненное предложение. 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сложное предложение. Сложные предложения с разными видами связи. Сложное синтаксическое целое. Способы передачи чужой речи. Итоговое занятие.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7274"/>
        <w:gridCol w:w="3361"/>
        <w:gridCol w:w="1860"/>
      </w:tblGrid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;宋体" w:cs="Times New Roman"/>
                <w:color w:val="000000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Предложение с обособленными членами.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Предложения с обращениями.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Предложение с вводными конструкциями.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</w:t>
            </w:r>
            <w:r>
              <w:rPr>
                <w:rFonts w:eastAsia="SimSun;宋体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>сложное предложение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</w:t>
            </w:r>
            <w:r>
              <w:rPr>
                <w:rFonts w:eastAsia="SimSun;宋体" w:cs="Times New Roman" w:ascii="Times New Roman" w:hAnsi="Times New Roman"/>
                <w:color w:val="000000"/>
                <w:lang w:eastAsia="zh-CN"/>
              </w:rPr>
              <w:t xml:space="preserve"> Повторение и обобщение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>Итоговая аттестация в виде экзамена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</w:t>
      </w:r>
      <w:r>
        <w:rPr>
          <w:rFonts w:cs="Times New Roman" w:ascii="Times New Roman" w:hAnsi="Times New Roman"/>
          <w:bCs/>
          <w:sz w:val="24"/>
          <w:szCs w:val="24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cs="Times New Roman"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cs="Times New Roman"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rPr/>
      </w:pPr>
      <w:r>
        <w:rPr>
          <w:rFonts w:eastAsia="SimSun;宋体" w:cs="Times New Roman" w:ascii="Times New Roman" w:hAnsi="Times New Roman"/>
          <w:sz w:val="24"/>
          <w:szCs w:val="24"/>
          <w:lang w:eastAsia="zh-CN"/>
        </w:rPr>
        <w:t>1. Учебник Антонова Е.С. Русский язык: учебник для сред.проф.образования / Е.С. Антонова, Т.М. Воителева.- 5-е изд., стер. – М.: издательский центр Академия», 2015. – 384 с.</w:t>
      </w:r>
      <w:r>
        <w:rPr>
          <w:rFonts w:eastAsia="SimSun;宋体" w:cs="Times New Roman" w:ascii="Times New Roman" w:hAnsi="Times New Roman"/>
          <w:b/>
          <w:bCs/>
          <w:sz w:val="24"/>
          <w:szCs w:val="24"/>
          <w:lang w:eastAsia="zh-CN"/>
        </w:rPr>
        <w:br/>
        <w:t>Дополнительные источники:</w:t>
      </w:r>
      <w:r>
        <w:rPr>
          <w:rFonts w:eastAsia="SimSun;宋体" w:cs="Times New Roman" w:ascii="Times New Roman" w:hAnsi="Times New Roman"/>
          <w:sz w:val="24"/>
          <w:szCs w:val="24"/>
          <w:lang w:eastAsia="zh-CN"/>
        </w:rPr>
        <w:br/>
        <w:t>1. Розенталь Д.Э. Справочник по правописанию и литературной правке / Под ред. И. Б. Голуб. – 14-е изд. – М.: Айрис-пресс, 2015. – 368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rPr/>
      </w:pPr>
      <w:r>
        <w:rPr>
          <w:rFonts w:eastAsia="SimSun;宋体" w:cs="Times New Roman" w:ascii="Times New Roman" w:hAnsi="Times New Roman"/>
          <w:sz w:val="24"/>
          <w:szCs w:val="24"/>
          <w:lang w:eastAsia="zh-CN"/>
        </w:rPr>
        <w:t>2. Справочник по русскому языку. Словарь лигвостилистических терминов / Д.Э. Розенталь, М.А. Теленкова. – М.: ООО «Издательский дом «ОНИКС 21 век», 2016. – 623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SimSun;宋体" w:cs="Times New Roman"/>
          <w:b/>
          <w:b/>
          <w:sz w:val="24"/>
          <w:szCs w:val="24"/>
          <w:lang w:eastAsia="zh-CN"/>
        </w:rPr>
      </w:pPr>
      <w:r>
        <w:rPr>
          <w:rFonts w:eastAsia="SimSun;宋体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hyperlink r:id="rId4">
        <w:r>
          <w:rPr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eor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eor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 учебный портал по использованию ЭОР)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www.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ruscorpora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(Национальный корпус русского языка – информационная справочная)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www.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russkiyazik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(энциклопедия «Языкознания».</w:t>
      </w:r>
      <w:r>
        <w:br w:type="page"/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2210"/>
        <w:gridCol w:w="2194"/>
      </w:tblGrid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</w:tr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Понимание роли родного языка как основы успешной социализации личности;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об изобразительно-выразительных возможностях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системе стилей языка художественной литературы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Fontstyle01">
    <w:name w:val="fontstyle01"/>
    <w:qFormat/>
    <w:rPr>
      <w:b w:val="false"/>
      <w:bCs w:val="false"/>
      <w:i w:val="false"/>
      <w:iCs w:val="false"/>
      <w:color w:val="242021"/>
      <w:sz w:val="22"/>
      <w:szCs w:val="22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paragraph" w:styleId="Style10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eor.ru/eor" TargetMode="External"/><Relationship Id="rId5" Type="http://schemas.openxmlformats.org/officeDocument/2006/relationships/hyperlink" Target="http://www.ruscorpora/" TargetMode="External"/><Relationship Id="rId6" Type="http://schemas.openxmlformats.org/officeDocument/2006/relationships/hyperlink" Target="http://www.russkiyazik.ru/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15</Pages>
  <Words>2297</Words>
  <Characters>17135</Characters>
  <CharactersWithSpaces>19189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2021-09-30T15:10:00Z</dcterms:created>
  <dc:creator>ЦРПО Мосполитех</dc:creator>
  <dc:description/>
  <cp:keywords/>
  <dc:language>ru-RU</dc:language>
  <cp:lastModifiedBy>507N1</cp:lastModifiedBy>
  <cp:lastPrinted>2021-09-12T20:50:00Z</cp:lastPrinted>
  <dcterms:modified xsi:type="dcterms:W3CDTF">2021-09-30T15:16:00Z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